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FF5D" w14:textId="77777777" w:rsidR="00F3230F" w:rsidRDefault="00F3230F">
      <w:pPr>
        <w:pStyle w:val="Standard"/>
        <w:jc w:val="center"/>
        <w:rPr>
          <w:rFonts w:hint="eastAsia"/>
          <w:b/>
          <w:bCs/>
        </w:rPr>
      </w:pPr>
    </w:p>
    <w:p w14:paraId="62CBCA95" w14:textId="1B2A77FF" w:rsidR="00F80346" w:rsidRDefault="00F0127D">
      <w:pPr>
        <w:pStyle w:val="Standard"/>
        <w:jc w:val="center"/>
        <w:rPr>
          <w:rFonts w:hint="eastAsia"/>
          <w:b/>
          <w:bCs/>
        </w:rPr>
      </w:pPr>
      <w:r>
        <w:rPr>
          <w:b/>
          <w:bCs/>
        </w:rPr>
        <w:t>Schémas Directeurs d’accessibilité Programmée (SD’AP)</w:t>
      </w:r>
    </w:p>
    <w:p w14:paraId="3F27A65F" w14:textId="77777777" w:rsidR="00F80346" w:rsidRDefault="00F80346">
      <w:pPr>
        <w:pStyle w:val="Standard"/>
        <w:jc w:val="center"/>
        <w:rPr>
          <w:rFonts w:hint="eastAsia"/>
          <w:b/>
          <w:bCs/>
        </w:rPr>
      </w:pPr>
    </w:p>
    <w:p w14:paraId="6F266818" w14:textId="659F303B" w:rsidR="00F80346" w:rsidRDefault="00F0127D">
      <w:pPr>
        <w:pStyle w:val="Standard"/>
        <w:jc w:val="center"/>
        <w:rPr>
          <w:rFonts w:hint="eastAsia"/>
          <w:b/>
          <w:bCs/>
        </w:rPr>
      </w:pPr>
      <w:r>
        <w:rPr>
          <w:b/>
          <w:bCs/>
        </w:rPr>
        <w:t xml:space="preserve">SD’AP </w:t>
      </w:r>
      <w:r w:rsidR="00440585">
        <w:rPr>
          <w:b/>
          <w:bCs/>
        </w:rPr>
        <w:t>Régional et Sd’AP ex-départementaux</w:t>
      </w:r>
    </w:p>
    <w:p w14:paraId="2F745BE7" w14:textId="77777777" w:rsidR="00F80346" w:rsidRDefault="00F80346">
      <w:pPr>
        <w:pStyle w:val="Standard"/>
        <w:jc w:val="center"/>
        <w:rPr>
          <w:rFonts w:hint="eastAsia"/>
          <w:b/>
          <w:bCs/>
        </w:rPr>
      </w:pPr>
    </w:p>
    <w:p w14:paraId="1DF67813" w14:textId="28BB095D" w:rsidR="00F80346" w:rsidRDefault="00440585">
      <w:pPr>
        <w:pStyle w:val="Standard"/>
        <w:jc w:val="center"/>
        <w:rPr>
          <w:rFonts w:hint="eastAsia"/>
          <w:b/>
          <w:bCs/>
        </w:rPr>
      </w:pPr>
      <w:r>
        <w:rPr>
          <w:b/>
          <w:bCs/>
        </w:rPr>
        <w:t>Bilan de fin de période à l’issue de la 3</w:t>
      </w:r>
      <w:r w:rsidRPr="00440585">
        <w:rPr>
          <w:b/>
          <w:bCs/>
          <w:vertAlign w:val="superscript"/>
        </w:rPr>
        <w:t>ème</w:t>
      </w:r>
      <w:r>
        <w:rPr>
          <w:b/>
          <w:bCs/>
        </w:rPr>
        <w:t xml:space="preserve"> année</w:t>
      </w:r>
      <w:r w:rsidR="00974F24">
        <w:rPr>
          <w:b/>
          <w:bCs/>
        </w:rPr>
        <w:t xml:space="preserve"> de mise en </w:t>
      </w:r>
      <w:r w:rsidR="00B97D10">
        <w:rPr>
          <w:b/>
          <w:bCs/>
        </w:rPr>
        <w:t>œuvre</w:t>
      </w:r>
    </w:p>
    <w:p w14:paraId="12C2B6D6" w14:textId="77777777" w:rsidR="00F3230F" w:rsidRDefault="00F3230F">
      <w:pPr>
        <w:pStyle w:val="Standard"/>
        <w:jc w:val="center"/>
        <w:rPr>
          <w:rFonts w:hint="eastAsia"/>
          <w:b/>
          <w:bCs/>
        </w:rPr>
      </w:pPr>
    </w:p>
    <w:p w14:paraId="13692B80" w14:textId="77777777" w:rsidR="00F80346" w:rsidRDefault="00F80346">
      <w:pPr>
        <w:pStyle w:val="Standard"/>
        <w:rPr>
          <w:rFonts w:hint="eastAsia"/>
        </w:rPr>
      </w:pPr>
    </w:p>
    <w:p w14:paraId="0B1D0C09" w14:textId="77777777" w:rsidR="003A77F2" w:rsidRDefault="003A77F2" w:rsidP="00B97D10">
      <w:pPr>
        <w:pStyle w:val="Standard"/>
        <w:jc w:val="both"/>
        <w:rPr>
          <w:rFonts w:hint="eastAsia"/>
        </w:rPr>
      </w:pPr>
    </w:p>
    <w:p w14:paraId="2659E62E" w14:textId="77777777" w:rsidR="003A77F2" w:rsidRDefault="003A77F2" w:rsidP="00B97D10">
      <w:pPr>
        <w:pStyle w:val="Standard"/>
        <w:jc w:val="both"/>
        <w:rPr>
          <w:rFonts w:hint="eastAsia"/>
        </w:rPr>
      </w:pPr>
    </w:p>
    <w:p w14:paraId="111DF4F2" w14:textId="746373AF" w:rsidR="00F80346" w:rsidRDefault="00440585" w:rsidP="00B97D10">
      <w:pPr>
        <w:pStyle w:val="Standard"/>
        <w:jc w:val="both"/>
        <w:rPr>
          <w:rFonts w:hint="eastAsia"/>
        </w:rPr>
      </w:pPr>
      <w:r>
        <w:t>Les bilans de fin de période</w:t>
      </w:r>
      <w:r w:rsidR="00F0127D">
        <w:t xml:space="preserve"> établis par l’État et les autorités organisatrices des transports conformément aux dispositions de l’article R.1112-22 du code des transports, sont communiqués à l’autorité compétente qui a approuvé le schéma directeur d’accessibilité-agenda d’accessibilité programmée (SD’AP).</w:t>
      </w:r>
    </w:p>
    <w:p w14:paraId="454AB2EB" w14:textId="77777777" w:rsidR="00F80346" w:rsidRDefault="00F80346">
      <w:pPr>
        <w:pStyle w:val="Textbody"/>
        <w:rPr>
          <w:rFonts w:hint="eastAsia"/>
        </w:rPr>
      </w:pPr>
    </w:p>
    <w:p w14:paraId="5DBEB464" w14:textId="7C64D61A" w:rsidR="00F80346" w:rsidRDefault="00F0127D">
      <w:pPr>
        <w:pStyle w:val="Standard"/>
        <w:rPr>
          <w:rFonts w:hint="eastAsia"/>
          <w:b/>
          <w:bCs/>
        </w:rPr>
      </w:pPr>
      <w:r>
        <w:rPr>
          <w:b/>
          <w:bCs/>
        </w:rPr>
        <w:t xml:space="preserve">1. Déclarant </w:t>
      </w:r>
      <w:r w:rsidR="00440585">
        <w:rPr>
          <w:b/>
          <w:bCs/>
        </w:rPr>
        <w:t xml:space="preserve">du bilan de fin de période à 3 ans </w:t>
      </w:r>
      <w:r w:rsidR="009F62B6">
        <w:rPr>
          <w:b/>
          <w:bCs/>
        </w:rPr>
        <w:t>(2017-2019)</w:t>
      </w:r>
    </w:p>
    <w:p w14:paraId="781B440E" w14:textId="77777777" w:rsidR="00F80346" w:rsidRDefault="00F80346">
      <w:pPr>
        <w:pStyle w:val="Standard"/>
        <w:rPr>
          <w:rFonts w:hint="eastAsia"/>
          <w:b/>
          <w:bCs/>
        </w:rPr>
      </w:pPr>
    </w:p>
    <w:p w14:paraId="490EC439" w14:textId="77777777" w:rsidR="00F80346" w:rsidRDefault="00F80346">
      <w:pPr>
        <w:pStyle w:val="Standard"/>
        <w:rPr>
          <w:rFonts w:hint="eastAsia"/>
          <w:u w:val="single"/>
        </w:rPr>
      </w:pPr>
    </w:p>
    <w:p w14:paraId="568A915A" w14:textId="77777777" w:rsidR="00F80346" w:rsidRDefault="00F0127D">
      <w:pPr>
        <w:pStyle w:val="Standard"/>
        <w:rPr>
          <w:rFonts w:hint="eastAsia"/>
          <w:u w:val="single"/>
        </w:rPr>
      </w:pPr>
      <w:r>
        <w:rPr>
          <w:u w:val="single"/>
        </w:rPr>
        <w:t>Identité du déclarant</w:t>
      </w:r>
    </w:p>
    <w:p w14:paraId="1CF710F3" w14:textId="77777777" w:rsidR="00F80346" w:rsidRDefault="00F80346">
      <w:pPr>
        <w:pStyle w:val="Standard"/>
        <w:rPr>
          <w:rFonts w:hint="eastAsia"/>
        </w:rPr>
      </w:pPr>
    </w:p>
    <w:p w14:paraId="4D51F94B" w14:textId="3D906BA5" w:rsidR="00F80346" w:rsidRPr="008750B3" w:rsidRDefault="00F0127D">
      <w:pPr>
        <w:pStyle w:val="Standard"/>
        <w:rPr>
          <w:rFonts w:hint="eastAsia"/>
        </w:rPr>
      </w:pPr>
      <w:r w:rsidRPr="008750B3">
        <w:t xml:space="preserve">- </w:t>
      </w:r>
      <w:r w:rsidRPr="008750B3">
        <w:rPr>
          <w:b/>
          <w:bCs/>
        </w:rPr>
        <w:t>Raison sociale</w:t>
      </w:r>
      <w:r w:rsidRPr="008750B3">
        <w:t> :</w:t>
      </w:r>
      <w:r w:rsidR="00BC20A2" w:rsidRPr="008750B3">
        <w:t xml:space="preserve"> Conseil régional Centre–Val de Loire</w:t>
      </w:r>
    </w:p>
    <w:p w14:paraId="687E74BA" w14:textId="77777777" w:rsidR="00F3230F" w:rsidRPr="008750B3" w:rsidRDefault="00F3230F">
      <w:pPr>
        <w:pStyle w:val="Standard"/>
        <w:rPr>
          <w:rFonts w:hint="eastAsia"/>
        </w:rPr>
      </w:pPr>
    </w:p>
    <w:p w14:paraId="5CD582DE" w14:textId="084AA79D" w:rsidR="00BC20A2" w:rsidRPr="008750B3" w:rsidRDefault="00F0127D" w:rsidP="00BC20A2">
      <w:pPr>
        <w:pStyle w:val="Standard"/>
        <w:rPr>
          <w:rFonts w:hint="eastAsia"/>
        </w:rPr>
      </w:pPr>
      <w:r w:rsidRPr="008750B3">
        <w:t xml:space="preserve">- </w:t>
      </w:r>
      <w:r w:rsidRPr="008750B3">
        <w:rPr>
          <w:b/>
          <w:bCs/>
        </w:rPr>
        <w:t xml:space="preserve">Dénomination de la collectivité et/ou de l’autorité compétente pour la mise en œuvre du </w:t>
      </w:r>
      <w:r w:rsidR="00440585" w:rsidRPr="008750B3">
        <w:rPr>
          <w:b/>
          <w:bCs/>
        </w:rPr>
        <w:t>SD’AP :</w:t>
      </w:r>
      <w:r w:rsidRPr="008750B3">
        <w:t xml:space="preserve"> </w:t>
      </w:r>
      <w:r w:rsidR="00BC20A2" w:rsidRPr="008750B3">
        <w:t>Conseil régional Centre–Val de Loire</w:t>
      </w:r>
    </w:p>
    <w:p w14:paraId="060A6993" w14:textId="0A966517" w:rsidR="00F80346" w:rsidRPr="008750B3" w:rsidRDefault="00F80346">
      <w:pPr>
        <w:pStyle w:val="Standard"/>
        <w:rPr>
          <w:rFonts w:hint="eastAsia"/>
        </w:rPr>
      </w:pPr>
    </w:p>
    <w:p w14:paraId="5880E798" w14:textId="5CA80A8D" w:rsidR="00F80346" w:rsidRPr="008750B3" w:rsidRDefault="00F0127D">
      <w:pPr>
        <w:pStyle w:val="Standard"/>
        <w:rPr>
          <w:rFonts w:hint="eastAsia"/>
        </w:rPr>
      </w:pPr>
      <w:r w:rsidRPr="008750B3">
        <w:t xml:space="preserve">- </w:t>
      </w:r>
      <w:r w:rsidRPr="008750B3">
        <w:rPr>
          <w:b/>
          <w:bCs/>
        </w:rPr>
        <w:t>adresse</w:t>
      </w:r>
      <w:r w:rsidRPr="008750B3">
        <w:t xml:space="preserve"> : </w:t>
      </w:r>
      <w:r w:rsidR="00BC20A2" w:rsidRPr="008750B3">
        <w:t>9 rue Saint-Pierre Lentin</w:t>
      </w:r>
    </w:p>
    <w:p w14:paraId="35A9A022" w14:textId="77777777" w:rsidR="00F3230F" w:rsidRPr="008750B3" w:rsidRDefault="00F3230F">
      <w:pPr>
        <w:pStyle w:val="Standard"/>
        <w:rPr>
          <w:rFonts w:hint="eastAsia"/>
        </w:rPr>
      </w:pPr>
    </w:p>
    <w:p w14:paraId="64419F16" w14:textId="2F1F3EAA" w:rsidR="00F80346" w:rsidRPr="008750B3" w:rsidRDefault="00F0127D">
      <w:pPr>
        <w:pStyle w:val="Standard"/>
        <w:rPr>
          <w:rFonts w:hint="eastAsia"/>
        </w:rPr>
      </w:pPr>
      <w:r w:rsidRPr="008750B3">
        <w:t xml:space="preserve">- </w:t>
      </w:r>
      <w:r w:rsidRPr="008750B3">
        <w:rPr>
          <w:b/>
          <w:bCs/>
        </w:rPr>
        <w:t>commune / ville</w:t>
      </w:r>
      <w:r w:rsidRPr="008750B3">
        <w:t xml:space="preserve"> : </w:t>
      </w:r>
      <w:r w:rsidR="00BC20A2" w:rsidRPr="008750B3">
        <w:t>ORLEANS</w:t>
      </w:r>
    </w:p>
    <w:p w14:paraId="5CB3D2A1" w14:textId="77777777" w:rsidR="00F3230F" w:rsidRPr="008750B3" w:rsidRDefault="00F3230F">
      <w:pPr>
        <w:pStyle w:val="Standard"/>
        <w:rPr>
          <w:rFonts w:hint="eastAsia"/>
        </w:rPr>
      </w:pPr>
    </w:p>
    <w:p w14:paraId="44810C46" w14:textId="03D70B6D" w:rsidR="00F80346" w:rsidRPr="008750B3" w:rsidRDefault="00F0127D">
      <w:pPr>
        <w:pStyle w:val="Standard"/>
        <w:rPr>
          <w:rFonts w:hint="eastAsia"/>
          <w:b/>
          <w:bCs/>
        </w:rPr>
      </w:pPr>
      <w:r w:rsidRPr="008750B3">
        <w:rPr>
          <w:b/>
          <w:bCs/>
        </w:rPr>
        <w:t xml:space="preserve">- code postal ou boite postale : </w:t>
      </w:r>
      <w:r w:rsidR="00BC20A2" w:rsidRPr="008750B3">
        <w:rPr>
          <w:rFonts w:hint="eastAsia"/>
          <w:bCs/>
        </w:rPr>
        <w:t>45000</w:t>
      </w:r>
    </w:p>
    <w:p w14:paraId="25C0A7E2" w14:textId="77777777" w:rsidR="00F80346" w:rsidRPr="008750B3" w:rsidRDefault="00F80346">
      <w:pPr>
        <w:pStyle w:val="Standard"/>
        <w:jc w:val="both"/>
        <w:rPr>
          <w:rFonts w:hint="eastAsia"/>
        </w:rPr>
      </w:pPr>
    </w:p>
    <w:p w14:paraId="3AAD577C" w14:textId="77777777" w:rsidR="00F763C0" w:rsidRPr="008750B3" w:rsidRDefault="00F763C0" w:rsidP="00F763C0">
      <w:pPr>
        <w:pStyle w:val="Standard"/>
        <w:jc w:val="both"/>
        <w:rPr>
          <w:rFonts w:hint="eastAsia"/>
        </w:rPr>
      </w:pPr>
      <w:r>
        <w:t xml:space="preserve">Dossier suivi par : Johanne BUSIER, </w:t>
      </w:r>
      <w:hyperlink r:id="rId8" w:history="1">
        <w:r w:rsidRPr="00985A1A">
          <w:rPr>
            <w:rStyle w:val="Lienhypertexte"/>
            <w:rFonts w:hint="eastAsia"/>
          </w:rPr>
          <w:t>johanne.busier@centrevaldeloire.fr</w:t>
        </w:r>
      </w:hyperlink>
      <w:r>
        <w:t>, 02.38.70.25.24</w:t>
      </w:r>
    </w:p>
    <w:p w14:paraId="6AF54365" w14:textId="77777777" w:rsidR="00F80346" w:rsidRPr="008750B3" w:rsidRDefault="00F80346">
      <w:pPr>
        <w:pStyle w:val="Standard"/>
        <w:jc w:val="both"/>
        <w:rPr>
          <w:rFonts w:hint="eastAsia"/>
        </w:rPr>
      </w:pPr>
    </w:p>
    <w:p w14:paraId="58EEC8F3" w14:textId="79A39D55" w:rsidR="00F80346" w:rsidRPr="00042F26" w:rsidRDefault="00F0127D" w:rsidP="002B16BB">
      <w:pPr>
        <w:pStyle w:val="Textbody"/>
        <w:pageBreakBefore/>
        <w:rPr>
          <w:rFonts w:hint="eastAsia"/>
          <w:shd w:val="clear" w:color="auto" w:fill="FFFF00"/>
        </w:rPr>
      </w:pPr>
      <w:r w:rsidRPr="00042F26">
        <w:rPr>
          <w:rStyle w:val="StrongEmphasis"/>
        </w:rPr>
        <w:lastRenderedPageBreak/>
        <w:t>2. Périmètre du SD’AP</w:t>
      </w:r>
      <w:r w:rsidR="00440585" w:rsidRPr="00042F26">
        <w:rPr>
          <w:rStyle w:val="StrongEmphasis"/>
        </w:rPr>
        <w:t xml:space="preserve"> régional et des Sd’AP ex-départementaux </w:t>
      </w:r>
      <w:r w:rsidR="00440585" w:rsidRPr="00042F26">
        <w:t xml:space="preserve"> </w:t>
      </w:r>
    </w:p>
    <w:p w14:paraId="3E21DD92" w14:textId="03CD92C7" w:rsidR="002B16BB" w:rsidRPr="00042F26" w:rsidRDefault="002B16BB">
      <w:pPr>
        <w:pStyle w:val="Standard"/>
        <w:rPr>
          <w:rFonts w:hint="eastAsia"/>
        </w:rPr>
      </w:pPr>
    </w:p>
    <w:p w14:paraId="008484E9" w14:textId="1438B02F" w:rsidR="002B16BB" w:rsidRPr="00042F26" w:rsidRDefault="002B16BB">
      <w:pPr>
        <w:pStyle w:val="Standard"/>
        <w:rPr>
          <w:rFonts w:hint="eastAsia"/>
        </w:rPr>
      </w:pPr>
      <w:r w:rsidRPr="00042F26">
        <w:t>Nombre de départements concernés par ce bilan de fin de période</w:t>
      </w:r>
      <w:r w:rsidR="00314075" w:rsidRPr="00042F26">
        <w:t xml:space="preserve"> </w:t>
      </w:r>
      <w:r w:rsidRPr="00042F26">
        <w:t>: 6</w:t>
      </w:r>
    </w:p>
    <w:p w14:paraId="740A95C2" w14:textId="4BD42F4A" w:rsidR="002B16BB" w:rsidRPr="00042F26" w:rsidRDefault="002B16BB">
      <w:pPr>
        <w:pStyle w:val="Standard"/>
        <w:rPr>
          <w:rFonts w:hint="eastAsia"/>
        </w:rPr>
      </w:pPr>
    </w:p>
    <w:p w14:paraId="16B37540" w14:textId="4D4FB37F" w:rsidR="002B16BB" w:rsidRPr="00042F26" w:rsidRDefault="002B16BB">
      <w:pPr>
        <w:pStyle w:val="Standard"/>
        <w:rPr>
          <w:rFonts w:hint="eastAsia"/>
        </w:rPr>
      </w:pPr>
    </w:p>
    <w:p w14:paraId="2A403A5C" w14:textId="77777777" w:rsidR="00F3230F" w:rsidRPr="00042F26" w:rsidRDefault="002B16BB" w:rsidP="002B16BB">
      <w:pPr>
        <w:pStyle w:val="Standard"/>
        <w:numPr>
          <w:ilvl w:val="0"/>
          <w:numId w:val="2"/>
        </w:numPr>
        <w:rPr>
          <w:rFonts w:hint="eastAsia"/>
          <w:b/>
        </w:rPr>
      </w:pPr>
      <w:r w:rsidRPr="00042F26">
        <w:rPr>
          <w:b/>
        </w:rPr>
        <w:t xml:space="preserve">Sd’AP régional </w:t>
      </w:r>
    </w:p>
    <w:p w14:paraId="6A925D47" w14:textId="77777777" w:rsidR="00F3230F" w:rsidRPr="00042F26" w:rsidRDefault="00F3230F" w:rsidP="00F3230F">
      <w:pPr>
        <w:pStyle w:val="Standard"/>
        <w:ind w:left="360"/>
        <w:rPr>
          <w:rFonts w:hint="eastAsia"/>
        </w:rPr>
      </w:pPr>
    </w:p>
    <w:p w14:paraId="05A5E575" w14:textId="0BF830B8" w:rsidR="002B16BB" w:rsidRPr="00042F26" w:rsidRDefault="002A4D95" w:rsidP="002A4D95">
      <w:pPr>
        <w:pStyle w:val="Standard"/>
        <w:rPr>
          <w:rFonts w:hint="eastAsia"/>
        </w:rPr>
      </w:pPr>
      <w:r w:rsidRPr="00042F26">
        <w:t xml:space="preserve">Numéros des départements concernés et date d’approbation de chaque partie par département : </w:t>
      </w:r>
    </w:p>
    <w:p w14:paraId="4B71B9C4" w14:textId="6EB0C9F4" w:rsidR="00A529C9" w:rsidRPr="00042F26" w:rsidRDefault="00A529C9" w:rsidP="002A4D95">
      <w:pPr>
        <w:pStyle w:val="Standard"/>
        <w:rPr>
          <w:rFonts w:hint="eastAsia"/>
        </w:rPr>
      </w:pPr>
    </w:p>
    <w:tbl>
      <w:tblPr>
        <w:tblStyle w:val="Grilledutableau"/>
        <w:tblW w:w="0" w:type="auto"/>
        <w:tblLook w:val="04A0" w:firstRow="1" w:lastRow="0" w:firstColumn="1" w:lastColumn="0" w:noHBand="0" w:noVBand="1"/>
      </w:tblPr>
      <w:tblGrid>
        <w:gridCol w:w="3209"/>
        <w:gridCol w:w="3209"/>
        <w:gridCol w:w="3210"/>
      </w:tblGrid>
      <w:tr w:rsidR="00A529C9" w:rsidRPr="00042F26" w14:paraId="0A3A3D4A" w14:textId="77777777" w:rsidTr="00A529C9">
        <w:tc>
          <w:tcPr>
            <w:tcW w:w="3209" w:type="dxa"/>
          </w:tcPr>
          <w:p w14:paraId="639840B4" w14:textId="06DEF5F4" w:rsidR="00A529C9" w:rsidRPr="00042F26" w:rsidRDefault="00A529C9" w:rsidP="002A4D95">
            <w:pPr>
              <w:pStyle w:val="Standard"/>
              <w:rPr>
                <w:rFonts w:hint="eastAsia"/>
              </w:rPr>
            </w:pPr>
            <w:r w:rsidRPr="00042F26">
              <w:t>N° de département</w:t>
            </w:r>
          </w:p>
        </w:tc>
        <w:tc>
          <w:tcPr>
            <w:tcW w:w="3209" w:type="dxa"/>
          </w:tcPr>
          <w:p w14:paraId="62F724FC" w14:textId="60DA5681" w:rsidR="00A529C9" w:rsidRPr="00042F26" w:rsidRDefault="00A529C9" w:rsidP="002A4D95">
            <w:pPr>
              <w:pStyle w:val="Standard"/>
              <w:rPr>
                <w:rFonts w:hint="eastAsia"/>
              </w:rPr>
            </w:pPr>
            <w:r w:rsidRPr="00042F26">
              <w:t xml:space="preserve">Mois d’approbation </w:t>
            </w:r>
          </w:p>
        </w:tc>
        <w:tc>
          <w:tcPr>
            <w:tcW w:w="3210" w:type="dxa"/>
          </w:tcPr>
          <w:p w14:paraId="3E52D175" w14:textId="1AF9ABB8" w:rsidR="00A529C9" w:rsidRPr="00042F26" w:rsidRDefault="00A529C9" w:rsidP="002A4D95">
            <w:pPr>
              <w:pStyle w:val="Standard"/>
              <w:rPr>
                <w:rFonts w:hint="eastAsia"/>
              </w:rPr>
            </w:pPr>
            <w:r w:rsidRPr="00042F26">
              <w:t>Année d’approbation</w:t>
            </w:r>
          </w:p>
        </w:tc>
      </w:tr>
      <w:tr w:rsidR="00A529C9" w:rsidRPr="00042F26" w14:paraId="0970BD9E" w14:textId="77777777" w:rsidTr="00A529C9">
        <w:tc>
          <w:tcPr>
            <w:tcW w:w="3209" w:type="dxa"/>
          </w:tcPr>
          <w:p w14:paraId="774DF3CE" w14:textId="5F107CF5" w:rsidR="00A529C9" w:rsidRPr="00042F26" w:rsidRDefault="00A529C9" w:rsidP="002A4D95">
            <w:pPr>
              <w:pStyle w:val="Standard"/>
              <w:rPr>
                <w:rFonts w:hint="eastAsia"/>
              </w:rPr>
            </w:pPr>
            <w:r w:rsidRPr="00042F26">
              <w:t>18</w:t>
            </w:r>
          </w:p>
        </w:tc>
        <w:tc>
          <w:tcPr>
            <w:tcW w:w="3209" w:type="dxa"/>
          </w:tcPr>
          <w:p w14:paraId="048F2152" w14:textId="088008F9" w:rsidR="00A529C9" w:rsidRPr="00042F26" w:rsidRDefault="00A529C9" w:rsidP="002A4D95">
            <w:pPr>
              <w:pStyle w:val="Standard"/>
              <w:rPr>
                <w:rFonts w:hint="eastAsia"/>
              </w:rPr>
            </w:pPr>
            <w:r w:rsidRPr="00042F26">
              <w:t xml:space="preserve">Novembre </w:t>
            </w:r>
          </w:p>
        </w:tc>
        <w:tc>
          <w:tcPr>
            <w:tcW w:w="3210" w:type="dxa"/>
          </w:tcPr>
          <w:p w14:paraId="01FE0775" w14:textId="31F036C2" w:rsidR="00A529C9" w:rsidRPr="00042F26" w:rsidRDefault="00A529C9" w:rsidP="002A4D95">
            <w:pPr>
              <w:pStyle w:val="Standard"/>
              <w:rPr>
                <w:rFonts w:hint="eastAsia"/>
              </w:rPr>
            </w:pPr>
            <w:r w:rsidRPr="00042F26">
              <w:t>2016</w:t>
            </w:r>
          </w:p>
        </w:tc>
      </w:tr>
      <w:tr w:rsidR="00A529C9" w:rsidRPr="00042F26" w14:paraId="0E73B0BE" w14:textId="77777777" w:rsidTr="00A529C9">
        <w:tc>
          <w:tcPr>
            <w:tcW w:w="3209" w:type="dxa"/>
          </w:tcPr>
          <w:p w14:paraId="45270D06" w14:textId="67CF647E" w:rsidR="00A529C9" w:rsidRPr="00042F26" w:rsidRDefault="00A529C9" w:rsidP="002A4D95">
            <w:pPr>
              <w:pStyle w:val="Standard"/>
              <w:rPr>
                <w:rFonts w:hint="eastAsia"/>
              </w:rPr>
            </w:pPr>
            <w:r w:rsidRPr="00042F26">
              <w:t>28</w:t>
            </w:r>
          </w:p>
        </w:tc>
        <w:tc>
          <w:tcPr>
            <w:tcW w:w="3209" w:type="dxa"/>
          </w:tcPr>
          <w:p w14:paraId="062B799D" w14:textId="0AB63228" w:rsidR="00A529C9" w:rsidRPr="00042F26" w:rsidRDefault="00A529C9" w:rsidP="002A4D95">
            <w:pPr>
              <w:pStyle w:val="Standard"/>
              <w:rPr>
                <w:rFonts w:hint="eastAsia"/>
              </w:rPr>
            </w:pPr>
            <w:r w:rsidRPr="00042F26">
              <w:t>Novembre</w:t>
            </w:r>
          </w:p>
        </w:tc>
        <w:tc>
          <w:tcPr>
            <w:tcW w:w="3210" w:type="dxa"/>
          </w:tcPr>
          <w:p w14:paraId="4CE52971" w14:textId="3DF46B75" w:rsidR="00A529C9" w:rsidRPr="00042F26" w:rsidRDefault="00A529C9" w:rsidP="002A4D95">
            <w:pPr>
              <w:pStyle w:val="Standard"/>
              <w:rPr>
                <w:rFonts w:hint="eastAsia"/>
              </w:rPr>
            </w:pPr>
            <w:r w:rsidRPr="00042F26">
              <w:t>2016</w:t>
            </w:r>
          </w:p>
        </w:tc>
      </w:tr>
      <w:tr w:rsidR="00A529C9" w:rsidRPr="00042F26" w14:paraId="021BF9DD" w14:textId="77777777" w:rsidTr="00A529C9">
        <w:tc>
          <w:tcPr>
            <w:tcW w:w="3209" w:type="dxa"/>
          </w:tcPr>
          <w:p w14:paraId="07501097" w14:textId="328A15DB" w:rsidR="00A529C9" w:rsidRPr="00042F26" w:rsidRDefault="00A529C9" w:rsidP="002A4D95">
            <w:pPr>
              <w:pStyle w:val="Standard"/>
              <w:rPr>
                <w:rFonts w:hint="eastAsia"/>
              </w:rPr>
            </w:pPr>
            <w:r w:rsidRPr="00042F26">
              <w:t>36</w:t>
            </w:r>
          </w:p>
        </w:tc>
        <w:tc>
          <w:tcPr>
            <w:tcW w:w="3209" w:type="dxa"/>
          </w:tcPr>
          <w:p w14:paraId="259920BD" w14:textId="2412D2D8" w:rsidR="00A529C9" w:rsidRPr="00042F26" w:rsidRDefault="00A529C9" w:rsidP="002A4D95">
            <w:pPr>
              <w:pStyle w:val="Standard"/>
              <w:rPr>
                <w:rFonts w:hint="eastAsia"/>
              </w:rPr>
            </w:pPr>
            <w:r w:rsidRPr="00042F26">
              <w:t>Novembre</w:t>
            </w:r>
          </w:p>
        </w:tc>
        <w:tc>
          <w:tcPr>
            <w:tcW w:w="3210" w:type="dxa"/>
          </w:tcPr>
          <w:p w14:paraId="7E89A8C1" w14:textId="62AAF9DF" w:rsidR="00A529C9" w:rsidRPr="00042F26" w:rsidRDefault="00A529C9" w:rsidP="002A4D95">
            <w:pPr>
              <w:pStyle w:val="Standard"/>
              <w:rPr>
                <w:rFonts w:hint="eastAsia"/>
              </w:rPr>
            </w:pPr>
            <w:r w:rsidRPr="00042F26">
              <w:t>2016</w:t>
            </w:r>
          </w:p>
        </w:tc>
      </w:tr>
      <w:tr w:rsidR="00A529C9" w:rsidRPr="00042F26" w14:paraId="5450099F" w14:textId="77777777" w:rsidTr="00A529C9">
        <w:tc>
          <w:tcPr>
            <w:tcW w:w="3209" w:type="dxa"/>
          </w:tcPr>
          <w:p w14:paraId="064D4F9B" w14:textId="62800299" w:rsidR="00A529C9" w:rsidRPr="00042F26" w:rsidRDefault="00A529C9" w:rsidP="002A4D95">
            <w:pPr>
              <w:pStyle w:val="Standard"/>
              <w:rPr>
                <w:rFonts w:hint="eastAsia"/>
              </w:rPr>
            </w:pPr>
            <w:r w:rsidRPr="00042F26">
              <w:t>37</w:t>
            </w:r>
          </w:p>
        </w:tc>
        <w:tc>
          <w:tcPr>
            <w:tcW w:w="3209" w:type="dxa"/>
          </w:tcPr>
          <w:p w14:paraId="5EF3A941" w14:textId="158DAE10" w:rsidR="00A529C9" w:rsidRPr="00042F26" w:rsidRDefault="00A529C9" w:rsidP="002A4D95">
            <w:pPr>
              <w:pStyle w:val="Standard"/>
              <w:rPr>
                <w:rFonts w:hint="eastAsia"/>
              </w:rPr>
            </w:pPr>
            <w:r w:rsidRPr="00042F26">
              <w:t>Novembre</w:t>
            </w:r>
          </w:p>
        </w:tc>
        <w:tc>
          <w:tcPr>
            <w:tcW w:w="3210" w:type="dxa"/>
          </w:tcPr>
          <w:p w14:paraId="44B0F912" w14:textId="43A7258C" w:rsidR="00A529C9" w:rsidRPr="00042F26" w:rsidRDefault="00A529C9" w:rsidP="002A4D95">
            <w:pPr>
              <w:pStyle w:val="Standard"/>
              <w:rPr>
                <w:rFonts w:hint="eastAsia"/>
              </w:rPr>
            </w:pPr>
            <w:r w:rsidRPr="00042F26">
              <w:t>2016</w:t>
            </w:r>
          </w:p>
        </w:tc>
      </w:tr>
      <w:tr w:rsidR="00A529C9" w:rsidRPr="00042F26" w14:paraId="73F0007A" w14:textId="77777777" w:rsidTr="00A529C9">
        <w:tc>
          <w:tcPr>
            <w:tcW w:w="3209" w:type="dxa"/>
          </w:tcPr>
          <w:p w14:paraId="1D8DE9B0" w14:textId="412F6DEE" w:rsidR="00A529C9" w:rsidRPr="00042F26" w:rsidRDefault="00A529C9" w:rsidP="002A4D95">
            <w:pPr>
              <w:pStyle w:val="Standard"/>
              <w:rPr>
                <w:rFonts w:hint="eastAsia"/>
              </w:rPr>
            </w:pPr>
            <w:r w:rsidRPr="00042F26">
              <w:t>41</w:t>
            </w:r>
          </w:p>
        </w:tc>
        <w:tc>
          <w:tcPr>
            <w:tcW w:w="3209" w:type="dxa"/>
          </w:tcPr>
          <w:p w14:paraId="684ABF01" w14:textId="0D7AEDA8" w:rsidR="00A529C9" w:rsidRPr="00042F26" w:rsidRDefault="00A529C9" w:rsidP="002A4D95">
            <w:pPr>
              <w:pStyle w:val="Standard"/>
              <w:rPr>
                <w:rFonts w:hint="eastAsia"/>
              </w:rPr>
            </w:pPr>
            <w:r w:rsidRPr="00042F26">
              <w:t>Octobre</w:t>
            </w:r>
          </w:p>
        </w:tc>
        <w:tc>
          <w:tcPr>
            <w:tcW w:w="3210" w:type="dxa"/>
          </w:tcPr>
          <w:p w14:paraId="168E80CD" w14:textId="06418141" w:rsidR="00A529C9" w:rsidRPr="00042F26" w:rsidRDefault="00A529C9" w:rsidP="002A4D95">
            <w:pPr>
              <w:pStyle w:val="Standard"/>
              <w:rPr>
                <w:rFonts w:hint="eastAsia"/>
              </w:rPr>
            </w:pPr>
            <w:r w:rsidRPr="00042F26">
              <w:t>2016</w:t>
            </w:r>
          </w:p>
        </w:tc>
      </w:tr>
      <w:tr w:rsidR="00A529C9" w:rsidRPr="00042F26" w14:paraId="27293831" w14:textId="77777777" w:rsidTr="00A529C9">
        <w:tc>
          <w:tcPr>
            <w:tcW w:w="3209" w:type="dxa"/>
          </w:tcPr>
          <w:p w14:paraId="594F3783" w14:textId="2496FFCF" w:rsidR="00A529C9" w:rsidRPr="00042F26" w:rsidRDefault="00A529C9" w:rsidP="002A4D95">
            <w:pPr>
              <w:pStyle w:val="Standard"/>
              <w:rPr>
                <w:rFonts w:hint="eastAsia"/>
              </w:rPr>
            </w:pPr>
            <w:r w:rsidRPr="00042F26">
              <w:t>45</w:t>
            </w:r>
          </w:p>
        </w:tc>
        <w:tc>
          <w:tcPr>
            <w:tcW w:w="3209" w:type="dxa"/>
          </w:tcPr>
          <w:p w14:paraId="4F118BB5" w14:textId="4FD7C4BA" w:rsidR="00A529C9" w:rsidRPr="00042F26" w:rsidRDefault="00A529C9" w:rsidP="002A4D95">
            <w:pPr>
              <w:pStyle w:val="Standard"/>
              <w:rPr>
                <w:rFonts w:hint="eastAsia"/>
              </w:rPr>
            </w:pPr>
            <w:r w:rsidRPr="00042F26">
              <w:t xml:space="preserve">Décembre </w:t>
            </w:r>
          </w:p>
        </w:tc>
        <w:tc>
          <w:tcPr>
            <w:tcW w:w="3210" w:type="dxa"/>
          </w:tcPr>
          <w:p w14:paraId="6F2986E7" w14:textId="25CFA5DE" w:rsidR="00A529C9" w:rsidRPr="00042F26" w:rsidRDefault="00A529C9" w:rsidP="002A4D95">
            <w:pPr>
              <w:pStyle w:val="Standard"/>
              <w:rPr>
                <w:rFonts w:hint="eastAsia"/>
              </w:rPr>
            </w:pPr>
            <w:r w:rsidRPr="00042F26">
              <w:t>2016</w:t>
            </w:r>
          </w:p>
        </w:tc>
      </w:tr>
    </w:tbl>
    <w:p w14:paraId="0F408F2D" w14:textId="77777777" w:rsidR="00A529C9" w:rsidRPr="00042F26" w:rsidRDefault="00A529C9" w:rsidP="002A4D95">
      <w:pPr>
        <w:pStyle w:val="Standard"/>
        <w:rPr>
          <w:rFonts w:hint="eastAsia"/>
        </w:rPr>
      </w:pPr>
    </w:p>
    <w:p w14:paraId="69D95589" w14:textId="77777777" w:rsidR="00F3230F" w:rsidRPr="00042F26" w:rsidRDefault="00F3230F" w:rsidP="00F3230F">
      <w:pPr>
        <w:pStyle w:val="Standard"/>
        <w:ind w:left="360"/>
        <w:rPr>
          <w:rFonts w:hint="eastAsia"/>
          <w:b/>
        </w:rPr>
      </w:pPr>
    </w:p>
    <w:p w14:paraId="327D52B7" w14:textId="4E1766F8" w:rsidR="00F3230F" w:rsidRPr="00042F26" w:rsidRDefault="002B16BB" w:rsidP="002B16BB">
      <w:pPr>
        <w:pStyle w:val="Standard"/>
        <w:numPr>
          <w:ilvl w:val="0"/>
          <w:numId w:val="2"/>
        </w:numPr>
        <w:rPr>
          <w:rFonts w:hint="eastAsia"/>
          <w:b/>
        </w:rPr>
      </w:pPr>
      <w:r w:rsidRPr="00042F26">
        <w:rPr>
          <w:b/>
        </w:rPr>
        <w:t xml:space="preserve">Sd’AP ex-départementaux </w:t>
      </w:r>
    </w:p>
    <w:p w14:paraId="72D60471" w14:textId="77777777" w:rsidR="00F3230F" w:rsidRPr="00042F26" w:rsidRDefault="00F3230F" w:rsidP="00F3230F">
      <w:pPr>
        <w:pStyle w:val="Standard"/>
        <w:ind w:left="720"/>
        <w:rPr>
          <w:rFonts w:hint="eastAsia"/>
        </w:rPr>
      </w:pPr>
    </w:p>
    <w:p w14:paraId="68AE703C" w14:textId="4892B6BD" w:rsidR="002B16BB" w:rsidRPr="00042F26" w:rsidRDefault="002A4D95" w:rsidP="002A4D95">
      <w:pPr>
        <w:pStyle w:val="Standard"/>
        <w:rPr>
          <w:rFonts w:hint="eastAsia"/>
        </w:rPr>
      </w:pPr>
      <w:r w:rsidRPr="00042F26">
        <w:t xml:space="preserve">Numéros des départements concernés et date d’approbation de chaque partie par département : </w:t>
      </w:r>
    </w:p>
    <w:p w14:paraId="3F794421" w14:textId="04DFD208" w:rsidR="00A529C9" w:rsidRPr="00042F26" w:rsidRDefault="00A529C9" w:rsidP="002A4D95">
      <w:pPr>
        <w:pStyle w:val="Standard"/>
        <w:rPr>
          <w:rFonts w:hint="eastAsia"/>
        </w:rPr>
      </w:pPr>
    </w:p>
    <w:tbl>
      <w:tblPr>
        <w:tblStyle w:val="Grilledutableau"/>
        <w:tblW w:w="0" w:type="auto"/>
        <w:tblLook w:val="04A0" w:firstRow="1" w:lastRow="0" w:firstColumn="1" w:lastColumn="0" w:noHBand="0" w:noVBand="1"/>
      </w:tblPr>
      <w:tblGrid>
        <w:gridCol w:w="3209"/>
        <w:gridCol w:w="3209"/>
        <w:gridCol w:w="3210"/>
      </w:tblGrid>
      <w:tr w:rsidR="00A529C9" w:rsidRPr="00042F26" w14:paraId="48EBDCAD" w14:textId="77777777" w:rsidTr="00A529C9">
        <w:tc>
          <w:tcPr>
            <w:tcW w:w="3209" w:type="dxa"/>
          </w:tcPr>
          <w:p w14:paraId="2F4B82E0" w14:textId="10969745" w:rsidR="00A529C9" w:rsidRPr="00042F26" w:rsidRDefault="00A529C9" w:rsidP="002A4D95">
            <w:pPr>
              <w:pStyle w:val="Standard"/>
              <w:rPr>
                <w:rFonts w:hint="eastAsia"/>
              </w:rPr>
            </w:pPr>
            <w:r w:rsidRPr="00042F26">
              <w:t>N° de département</w:t>
            </w:r>
          </w:p>
        </w:tc>
        <w:tc>
          <w:tcPr>
            <w:tcW w:w="3209" w:type="dxa"/>
          </w:tcPr>
          <w:p w14:paraId="7EE89B3F" w14:textId="43A1A677" w:rsidR="00A529C9" w:rsidRPr="00042F26" w:rsidRDefault="00A529C9" w:rsidP="002A4D95">
            <w:pPr>
              <w:pStyle w:val="Standard"/>
              <w:rPr>
                <w:rFonts w:hint="eastAsia"/>
              </w:rPr>
            </w:pPr>
            <w:r w:rsidRPr="00042F26">
              <w:t>Mois d’approbation</w:t>
            </w:r>
          </w:p>
        </w:tc>
        <w:tc>
          <w:tcPr>
            <w:tcW w:w="3210" w:type="dxa"/>
          </w:tcPr>
          <w:p w14:paraId="3C98B1DA" w14:textId="1F09990F" w:rsidR="00A529C9" w:rsidRPr="00042F26" w:rsidRDefault="00A529C9" w:rsidP="002A4D95">
            <w:pPr>
              <w:pStyle w:val="Standard"/>
              <w:rPr>
                <w:rFonts w:hint="eastAsia"/>
              </w:rPr>
            </w:pPr>
            <w:r w:rsidRPr="00042F26">
              <w:t>Année d’approbation</w:t>
            </w:r>
          </w:p>
        </w:tc>
      </w:tr>
      <w:tr w:rsidR="00A529C9" w:rsidRPr="00042F26" w14:paraId="5533DD71" w14:textId="77777777" w:rsidTr="00A529C9">
        <w:tc>
          <w:tcPr>
            <w:tcW w:w="3209" w:type="dxa"/>
          </w:tcPr>
          <w:p w14:paraId="1B7DA294" w14:textId="3AF20609" w:rsidR="00A529C9" w:rsidRPr="00042F26" w:rsidRDefault="00A529C9" w:rsidP="002A4D95">
            <w:pPr>
              <w:pStyle w:val="Standard"/>
              <w:rPr>
                <w:rFonts w:hint="eastAsia"/>
              </w:rPr>
            </w:pPr>
            <w:r w:rsidRPr="00042F26">
              <w:t>18</w:t>
            </w:r>
          </w:p>
        </w:tc>
        <w:tc>
          <w:tcPr>
            <w:tcW w:w="3209" w:type="dxa"/>
          </w:tcPr>
          <w:p w14:paraId="3DD2D76A" w14:textId="55B643D8" w:rsidR="00A529C9" w:rsidRPr="00042F26" w:rsidRDefault="00A529C9" w:rsidP="002A4D95">
            <w:pPr>
              <w:pStyle w:val="Standard"/>
              <w:rPr>
                <w:rFonts w:hint="eastAsia"/>
              </w:rPr>
            </w:pPr>
            <w:r w:rsidRPr="00042F26">
              <w:t>Mai</w:t>
            </w:r>
          </w:p>
        </w:tc>
        <w:tc>
          <w:tcPr>
            <w:tcW w:w="3210" w:type="dxa"/>
          </w:tcPr>
          <w:p w14:paraId="5C9EDA91" w14:textId="73AA6B6D" w:rsidR="00A529C9" w:rsidRPr="00042F26" w:rsidRDefault="00A529C9" w:rsidP="002A4D95">
            <w:pPr>
              <w:pStyle w:val="Standard"/>
              <w:rPr>
                <w:rFonts w:hint="eastAsia"/>
              </w:rPr>
            </w:pPr>
            <w:r w:rsidRPr="00042F26">
              <w:t>2016</w:t>
            </w:r>
          </w:p>
        </w:tc>
      </w:tr>
      <w:tr w:rsidR="00A529C9" w:rsidRPr="00042F26" w14:paraId="6339EB86" w14:textId="77777777" w:rsidTr="00A529C9">
        <w:tc>
          <w:tcPr>
            <w:tcW w:w="3209" w:type="dxa"/>
          </w:tcPr>
          <w:p w14:paraId="41C3200D" w14:textId="60D22C57" w:rsidR="00A529C9" w:rsidRPr="00042F26" w:rsidRDefault="00A529C9" w:rsidP="002A4D95">
            <w:pPr>
              <w:pStyle w:val="Standard"/>
              <w:rPr>
                <w:rFonts w:hint="eastAsia"/>
              </w:rPr>
            </w:pPr>
            <w:r w:rsidRPr="00042F26">
              <w:t>28</w:t>
            </w:r>
          </w:p>
        </w:tc>
        <w:tc>
          <w:tcPr>
            <w:tcW w:w="3209" w:type="dxa"/>
          </w:tcPr>
          <w:p w14:paraId="75B1710E" w14:textId="0D38F98E" w:rsidR="00A529C9" w:rsidRPr="00042F26" w:rsidRDefault="00A529C9" w:rsidP="002A4D95">
            <w:pPr>
              <w:pStyle w:val="Standard"/>
              <w:rPr>
                <w:rFonts w:hint="eastAsia"/>
              </w:rPr>
            </w:pPr>
            <w:r w:rsidRPr="00042F26">
              <w:t>Juin</w:t>
            </w:r>
          </w:p>
        </w:tc>
        <w:tc>
          <w:tcPr>
            <w:tcW w:w="3210" w:type="dxa"/>
          </w:tcPr>
          <w:p w14:paraId="334B1A3A" w14:textId="745BCA80" w:rsidR="00A529C9" w:rsidRPr="00042F26" w:rsidRDefault="00A529C9" w:rsidP="002A4D95">
            <w:pPr>
              <w:pStyle w:val="Standard"/>
              <w:rPr>
                <w:rFonts w:hint="eastAsia"/>
              </w:rPr>
            </w:pPr>
            <w:r w:rsidRPr="00042F26">
              <w:t>2016</w:t>
            </w:r>
          </w:p>
        </w:tc>
      </w:tr>
      <w:tr w:rsidR="00A529C9" w:rsidRPr="00042F26" w14:paraId="5F4A5A50" w14:textId="77777777" w:rsidTr="00A529C9">
        <w:tc>
          <w:tcPr>
            <w:tcW w:w="3209" w:type="dxa"/>
          </w:tcPr>
          <w:p w14:paraId="400D6652" w14:textId="2CFF5A6D" w:rsidR="00A529C9" w:rsidRPr="00042F26" w:rsidRDefault="00A529C9" w:rsidP="002A4D95">
            <w:pPr>
              <w:pStyle w:val="Standard"/>
              <w:rPr>
                <w:rFonts w:hint="eastAsia"/>
              </w:rPr>
            </w:pPr>
            <w:r w:rsidRPr="00042F26">
              <w:t>37</w:t>
            </w:r>
          </w:p>
        </w:tc>
        <w:tc>
          <w:tcPr>
            <w:tcW w:w="3209" w:type="dxa"/>
          </w:tcPr>
          <w:p w14:paraId="5D1B2E2E" w14:textId="134B7ECC" w:rsidR="00A529C9" w:rsidRPr="00042F26" w:rsidRDefault="00A529C9" w:rsidP="002A4D95">
            <w:pPr>
              <w:pStyle w:val="Standard"/>
              <w:rPr>
                <w:rFonts w:hint="eastAsia"/>
              </w:rPr>
            </w:pPr>
            <w:r w:rsidRPr="00042F26">
              <w:t>Mai</w:t>
            </w:r>
          </w:p>
        </w:tc>
        <w:tc>
          <w:tcPr>
            <w:tcW w:w="3210" w:type="dxa"/>
          </w:tcPr>
          <w:p w14:paraId="76C7851B" w14:textId="3DF9515F" w:rsidR="00A529C9" w:rsidRPr="00042F26" w:rsidRDefault="00A529C9" w:rsidP="002A4D95">
            <w:pPr>
              <w:pStyle w:val="Standard"/>
              <w:rPr>
                <w:rFonts w:hint="eastAsia"/>
              </w:rPr>
            </w:pPr>
            <w:r w:rsidRPr="00042F26">
              <w:t>2016</w:t>
            </w:r>
          </w:p>
        </w:tc>
      </w:tr>
      <w:tr w:rsidR="00A529C9" w:rsidRPr="00042F26" w14:paraId="56047A11" w14:textId="77777777" w:rsidTr="00A529C9">
        <w:tc>
          <w:tcPr>
            <w:tcW w:w="3209" w:type="dxa"/>
          </w:tcPr>
          <w:p w14:paraId="4277927E" w14:textId="5C68D26D" w:rsidR="00A529C9" w:rsidRPr="00042F26" w:rsidRDefault="00A529C9" w:rsidP="002A4D95">
            <w:pPr>
              <w:pStyle w:val="Standard"/>
              <w:rPr>
                <w:rFonts w:hint="eastAsia"/>
              </w:rPr>
            </w:pPr>
            <w:r w:rsidRPr="00042F26">
              <w:t>41</w:t>
            </w:r>
          </w:p>
        </w:tc>
        <w:tc>
          <w:tcPr>
            <w:tcW w:w="3209" w:type="dxa"/>
          </w:tcPr>
          <w:p w14:paraId="003BC70A" w14:textId="7D306E0D" w:rsidR="00A529C9" w:rsidRPr="00042F26" w:rsidRDefault="00A529C9" w:rsidP="002A4D95">
            <w:pPr>
              <w:pStyle w:val="Standard"/>
              <w:rPr>
                <w:rFonts w:hint="eastAsia"/>
              </w:rPr>
            </w:pPr>
            <w:r w:rsidRPr="00042F26">
              <w:t>Mars</w:t>
            </w:r>
          </w:p>
        </w:tc>
        <w:tc>
          <w:tcPr>
            <w:tcW w:w="3210" w:type="dxa"/>
          </w:tcPr>
          <w:p w14:paraId="104F8741" w14:textId="7B0DF9E3" w:rsidR="00A529C9" w:rsidRPr="00042F26" w:rsidRDefault="00A529C9" w:rsidP="002A4D95">
            <w:pPr>
              <w:pStyle w:val="Standard"/>
              <w:rPr>
                <w:rFonts w:hint="eastAsia"/>
              </w:rPr>
            </w:pPr>
            <w:r w:rsidRPr="00042F26">
              <w:t>2016</w:t>
            </w:r>
          </w:p>
        </w:tc>
      </w:tr>
      <w:tr w:rsidR="00A529C9" w:rsidRPr="00042F26" w14:paraId="1F4ED4DE" w14:textId="77777777" w:rsidTr="00A529C9">
        <w:tc>
          <w:tcPr>
            <w:tcW w:w="3209" w:type="dxa"/>
          </w:tcPr>
          <w:p w14:paraId="04CBC1E4" w14:textId="4BB5FD17" w:rsidR="00A529C9" w:rsidRPr="00042F26" w:rsidRDefault="00A529C9" w:rsidP="002A4D95">
            <w:pPr>
              <w:pStyle w:val="Standard"/>
              <w:rPr>
                <w:rFonts w:hint="eastAsia"/>
              </w:rPr>
            </w:pPr>
            <w:r w:rsidRPr="00042F26">
              <w:t>45*</w:t>
            </w:r>
          </w:p>
        </w:tc>
        <w:tc>
          <w:tcPr>
            <w:tcW w:w="3209" w:type="dxa"/>
          </w:tcPr>
          <w:p w14:paraId="17D9FA1C" w14:textId="2160316F" w:rsidR="00A529C9" w:rsidRPr="00042F26" w:rsidRDefault="00A529C9" w:rsidP="002A4D95">
            <w:pPr>
              <w:pStyle w:val="Standard"/>
              <w:rPr>
                <w:rFonts w:hint="eastAsia"/>
              </w:rPr>
            </w:pPr>
            <w:r w:rsidRPr="00042F26">
              <w:t>Juin</w:t>
            </w:r>
          </w:p>
        </w:tc>
        <w:tc>
          <w:tcPr>
            <w:tcW w:w="3210" w:type="dxa"/>
          </w:tcPr>
          <w:p w14:paraId="205CB314" w14:textId="614D2967" w:rsidR="00A529C9" w:rsidRPr="00042F26" w:rsidRDefault="00A529C9" w:rsidP="002A4D95">
            <w:pPr>
              <w:pStyle w:val="Standard"/>
              <w:rPr>
                <w:rFonts w:hint="eastAsia"/>
              </w:rPr>
            </w:pPr>
            <w:r w:rsidRPr="00042F26">
              <w:t>2016</w:t>
            </w:r>
          </w:p>
        </w:tc>
      </w:tr>
    </w:tbl>
    <w:p w14:paraId="19893807" w14:textId="677BBD5D" w:rsidR="00A529C9" w:rsidRPr="00042F26" w:rsidRDefault="00A529C9" w:rsidP="002A4D95">
      <w:pPr>
        <w:pStyle w:val="Standard"/>
        <w:rPr>
          <w:rFonts w:hint="eastAsia"/>
        </w:rPr>
      </w:pPr>
    </w:p>
    <w:p w14:paraId="111C8A9B" w14:textId="318EC3B5" w:rsidR="00A529C9" w:rsidRDefault="00A529C9" w:rsidP="002A4D95">
      <w:pPr>
        <w:pStyle w:val="Standard"/>
        <w:rPr>
          <w:rFonts w:hint="eastAsia"/>
          <w:i/>
        </w:rPr>
      </w:pPr>
      <w:r w:rsidRPr="00042F26">
        <w:rPr>
          <w:i/>
        </w:rPr>
        <w:t xml:space="preserve">*Le Sd’AP du Loiret a été déposé par le Département du Loiret à la préfecture du Loiret en janvier 2016. Sans réponse, il a </w:t>
      </w:r>
      <w:r w:rsidR="00511799" w:rsidRPr="00042F26">
        <w:rPr>
          <w:i/>
        </w:rPr>
        <w:t>été tacitement</w:t>
      </w:r>
      <w:r w:rsidRPr="00042F26">
        <w:rPr>
          <w:i/>
        </w:rPr>
        <w:t xml:space="preserve"> approuvé 5 mois après, soit en juin 2016.</w:t>
      </w:r>
    </w:p>
    <w:p w14:paraId="4CF6B684" w14:textId="693AB8C7" w:rsidR="0024632E" w:rsidRPr="00042F26" w:rsidRDefault="0024632E" w:rsidP="002A4D95">
      <w:pPr>
        <w:pStyle w:val="Standard"/>
        <w:rPr>
          <w:rFonts w:hint="eastAsia"/>
          <w:i/>
        </w:rPr>
      </w:pPr>
      <w:r>
        <w:rPr>
          <w:i/>
        </w:rPr>
        <w:t xml:space="preserve">Pour le département de l’Indre (36), </w:t>
      </w:r>
      <w:r w:rsidR="00A04364">
        <w:rPr>
          <w:i/>
        </w:rPr>
        <w:t>le réseau est déjà accessible</w:t>
      </w:r>
      <w:r w:rsidR="003A77F2">
        <w:rPr>
          <w:i/>
        </w:rPr>
        <w:t>, et n’a pas donc fait l’objet de Sd’AP</w:t>
      </w:r>
      <w:r w:rsidR="00A04364">
        <w:rPr>
          <w:i/>
        </w:rPr>
        <w:t>.</w:t>
      </w:r>
    </w:p>
    <w:p w14:paraId="2DBA59D8" w14:textId="77777777" w:rsidR="00440585" w:rsidRPr="00042F26" w:rsidRDefault="00440585">
      <w:pPr>
        <w:pStyle w:val="Standard"/>
        <w:rPr>
          <w:rFonts w:hint="eastAsia"/>
          <w:b/>
          <w:bCs/>
        </w:rPr>
      </w:pPr>
    </w:p>
    <w:p w14:paraId="24E0E227" w14:textId="42FA4D8A" w:rsidR="00F80346" w:rsidRPr="00730B06" w:rsidRDefault="00F0127D">
      <w:pPr>
        <w:pStyle w:val="Standard"/>
        <w:rPr>
          <w:rFonts w:hint="eastAsia"/>
          <w:b/>
          <w:bCs/>
        </w:rPr>
      </w:pPr>
      <w:r w:rsidRPr="00042F26">
        <w:rPr>
          <w:b/>
          <w:bCs/>
        </w:rPr>
        <w:t xml:space="preserve">Éléments d’identification du ou des réseaux concernés par </w:t>
      </w:r>
      <w:r w:rsidR="00440585" w:rsidRPr="00042F26">
        <w:rPr>
          <w:b/>
          <w:bCs/>
        </w:rPr>
        <w:t xml:space="preserve">le bilan de fin de période </w:t>
      </w:r>
    </w:p>
    <w:p w14:paraId="619359FD" w14:textId="04D7A381" w:rsidR="00F3230F" w:rsidRPr="00042F26" w:rsidRDefault="00F3230F">
      <w:pPr>
        <w:pStyle w:val="Standard"/>
        <w:rPr>
          <w:rFonts w:hint="eastAsia"/>
          <w:bCs/>
          <w:u w:val="single"/>
        </w:rPr>
      </w:pPr>
    </w:p>
    <w:p w14:paraId="5FA84508" w14:textId="6CA59543" w:rsidR="0080653B" w:rsidRPr="00042F26" w:rsidRDefault="0080653B">
      <w:pPr>
        <w:pStyle w:val="Standard"/>
        <w:rPr>
          <w:rFonts w:hint="eastAsia"/>
          <w:bCs/>
        </w:rPr>
      </w:pPr>
      <w:r w:rsidRPr="00042F26">
        <w:rPr>
          <w:bCs/>
        </w:rPr>
        <w:t xml:space="preserve">Le réseau Rémi (pour REseau de Mobilité Interurbaine) est le nom du réseau multimodal organisé par la Région Centre-Val de Loire, qui comprend : </w:t>
      </w:r>
    </w:p>
    <w:p w14:paraId="275C2972" w14:textId="290B5A0A" w:rsidR="0080653B" w:rsidRPr="00042F26" w:rsidRDefault="0080653B">
      <w:pPr>
        <w:pStyle w:val="Standard"/>
        <w:rPr>
          <w:rFonts w:hint="eastAsia"/>
          <w:bCs/>
          <w:u w:val="single"/>
        </w:rPr>
      </w:pPr>
    </w:p>
    <w:p w14:paraId="338A0A0D" w14:textId="3B77247B" w:rsidR="0080653B" w:rsidRPr="00042F26" w:rsidRDefault="0080653B" w:rsidP="0080653B">
      <w:pPr>
        <w:pStyle w:val="Standard"/>
        <w:numPr>
          <w:ilvl w:val="0"/>
          <w:numId w:val="10"/>
        </w:numPr>
        <w:rPr>
          <w:rFonts w:hint="eastAsia"/>
          <w:bCs/>
        </w:rPr>
      </w:pPr>
      <w:r w:rsidRPr="00042F26">
        <w:rPr>
          <w:bCs/>
        </w:rPr>
        <w:t>Des trains Rémi Express (qui remplacent les trains Intercités repris par la Région : Paris-Orléans-Tours, Paris-Bourges-Montluçon et Paris-Montargis-Nevers)</w:t>
      </w:r>
    </w:p>
    <w:p w14:paraId="64BF53D4" w14:textId="77777777" w:rsidR="0080653B" w:rsidRPr="00042F26" w:rsidRDefault="0080653B" w:rsidP="0080653B">
      <w:pPr>
        <w:pStyle w:val="Standard"/>
        <w:ind w:left="720"/>
        <w:rPr>
          <w:rFonts w:hint="eastAsia"/>
          <w:bCs/>
        </w:rPr>
      </w:pPr>
    </w:p>
    <w:p w14:paraId="0BBC365F" w14:textId="385A5B17" w:rsidR="0080653B" w:rsidRPr="00042F26" w:rsidRDefault="0080653B" w:rsidP="0080653B">
      <w:pPr>
        <w:pStyle w:val="Standard"/>
        <w:numPr>
          <w:ilvl w:val="0"/>
          <w:numId w:val="10"/>
        </w:numPr>
        <w:rPr>
          <w:rFonts w:hint="eastAsia"/>
          <w:bCs/>
        </w:rPr>
      </w:pPr>
      <w:r w:rsidRPr="00042F26">
        <w:rPr>
          <w:bCs/>
        </w:rPr>
        <w:t>Des trains Rémi (qui remplacent les trains TER</w:t>
      </w:r>
      <w:r w:rsidR="003A77F2">
        <w:rPr>
          <w:bCs/>
        </w:rPr>
        <w:t>, traités dans le Sd’AP régional</w:t>
      </w:r>
      <w:r w:rsidRPr="00042F26">
        <w:rPr>
          <w:bCs/>
        </w:rPr>
        <w:t xml:space="preserve">) </w:t>
      </w:r>
    </w:p>
    <w:p w14:paraId="61F9881C" w14:textId="77777777" w:rsidR="0080653B" w:rsidRPr="00042F26" w:rsidRDefault="0080653B" w:rsidP="00730B06">
      <w:pPr>
        <w:pStyle w:val="Standard"/>
        <w:rPr>
          <w:rFonts w:hint="eastAsia"/>
          <w:bCs/>
        </w:rPr>
      </w:pPr>
    </w:p>
    <w:p w14:paraId="31E0844B" w14:textId="435197A4" w:rsidR="0080653B" w:rsidRPr="00042F26" w:rsidRDefault="0080653B" w:rsidP="0080653B">
      <w:pPr>
        <w:pStyle w:val="Standard"/>
        <w:numPr>
          <w:ilvl w:val="0"/>
          <w:numId w:val="10"/>
        </w:numPr>
        <w:rPr>
          <w:rFonts w:hint="eastAsia"/>
          <w:bCs/>
        </w:rPr>
      </w:pPr>
      <w:r w:rsidRPr="00042F26">
        <w:rPr>
          <w:bCs/>
        </w:rPr>
        <w:t xml:space="preserve">Des cars Rémi qui comprennent au sein de chaque département et hors zone urbaine : </w:t>
      </w:r>
    </w:p>
    <w:p w14:paraId="2C334918" w14:textId="4A4D2035" w:rsidR="0080653B" w:rsidRPr="00042F26" w:rsidRDefault="0080653B" w:rsidP="0080653B">
      <w:pPr>
        <w:pStyle w:val="Standard"/>
        <w:rPr>
          <w:rFonts w:hint="eastAsia"/>
          <w:bCs/>
        </w:rPr>
      </w:pPr>
    </w:p>
    <w:p w14:paraId="0BD97968" w14:textId="3A9DC24A" w:rsidR="0080653B" w:rsidRPr="00042F26" w:rsidRDefault="0080653B" w:rsidP="0080653B">
      <w:pPr>
        <w:pStyle w:val="Standard"/>
        <w:numPr>
          <w:ilvl w:val="0"/>
          <w:numId w:val="11"/>
        </w:numPr>
        <w:rPr>
          <w:rFonts w:hint="eastAsia"/>
          <w:bCs/>
        </w:rPr>
      </w:pPr>
      <w:r w:rsidRPr="00042F26">
        <w:rPr>
          <w:bCs/>
        </w:rPr>
        <w:t>Les anciennes lignes de cars TER</w:t>
      </w:r>
      <w:r w:rsidR="003A77F2">
        <w:rPr>
          <w:bCs/>
        </w:rPr>
        <w:t>, traitées dans le Sd’AP régional</w:t>
      </w:r>
    </w:p>
    <w:p w14:paraId="1D9F6E22" w14:textId="72EFB764" w:rsidR="0080653B" w:rsidRPr="00042F26" w:rsidRDefault="0080653B" w:rsidP="0080653B">
      <w:pPr>
        <w:pStyle w:val="Standard"/>
        <w:numPr>
          <w:ilvl w:val="0"/>
          <w:numId w:val="11"/>
        </w:numPr>
        <w:rPr>
          <w:rFonts w:hint="eastAsia"/>
          <w:bCs/>
        </w:rPr>
      </w:pPr>
      <w:r w:rsidRPr="00042F26">
        <w:rPr>
          <w:bCs/>
        </w:rPr>
        <w:t>Les lignes régulières interurbaines</w:t>
      </w:r>
      <w:r w:rsidR="003A77F2">
        <w:rPr>
          <w:bCs/>
        </w:rPr>
        <w:t>, traitées dans les Sd’AP ex-</w:t>
      </w:r>
      <w:r w:rsidR="003A77F2">
        <w:rPr>
          <w:bCs/>
        </w:rPr>
        <w:lastRenderedPageBreak/>
        <w:t>départementaux</w:t>
      </w:r>
    </w:p>
    <w:p w14:paraId="01CBDFB4" w14:textId="0B21CEE6" w:rsidR="0080653B" w:rsidRPr="00042F26" w:rsidRDefault="0080653B" w:rsidP="0080653B">
      <w:pPr>
        <w:pStyle w:val="Standard"/>
        <w:numPr>
          <w:ilvl w:val="0"/>
          <w:numId w:val="11"/>
        </w:numPr>
        <w:rPr>
          <w:rFonts w:hint="eastAsia"/>
          <w:bCs/>
        </w:rPr>
      </w:pPr>
      <w:r w:rsidRPr="00042F26">
        <w:rPr>
          <w:bCs/>
        </w:rPr>
        <w:t>Les lignes de transport à la demande</w:t>
      </w:r>
    </w:p>
    <w:p w14:paraId="2B0B0407" w14:textId="1E403AEB" w:rsidR="0080653B" w:rsidRPr="00042F26" w:rsidRDefault="0080653B" w:rsidP="0080653B">
      <w:pPr>
        <w:pStyle w:val="Standard"/>
        <w:numPr>
          <w:ilvl w:val="0"/>
          <w:numId w:val="11"/>
        </w:numPr>
        <w:rPr>
          <w:rFonts w:hint="eastAsia"/>
          <w:bCs/>
        </w:rPr>
      </w:pPr>
      <w:r w:rsidRPr="00042F26">
        <w:rPr>
          <w:bCs/>
        </w:rPr>
        <w:t>Les lignes de transports scolaires</w:t>
      </w:r>
    </w:p>
    <w:p w14:paraId="79BEABF7" w14:textId="77777777" w:rsidR="0080653B" w:rsidRPr="00042F26" w:rsidRDefault="0080653B" w:rsidP="0080653B">
      <w:pPr>
        <w:pStyle w:val="Standard"/>
        <w:ind w:left="720"/>
        <w:rPr>
          <w:rFonts w:hint="eastAsia"/>
          <w:bCs/>
          <w:u w:val="single"/>
        </w:rPr>
      </w:pPr>
    </w:p>
    <w:p w14:paraId="73A34AFE" w14:textId="77777777" w:rsidR="0080653B" w:rsidRPr="00042F26" w:rsidRDefault="0080653B">
      <w:pPr>
        <w:pStyle w:val="Standard"/>
        <w:rPr>
          <w:rFonts w:hint="eastAsia"/>
          <w:b/>
          <w:bCs/>
        </w:rPr>
      </w:pPr>
    </w:p>
    <w:p w14:paraId="13062FC4" w14:textId="76010C15" w:rsidR="00440585" w:rsidRPr="00042F26" w:rsidRDefault="00F0127D" w:rsidP="00440585">
      <w:pPr>
        <w:pStyle w:val="Textbody"/>
        <w:jc w:val="both"/>
        <w:rPr>
          <w:rFonts w:hint="eastAsia"/>
        </w:rPr>
      </w:pPr>
      <w:r w:rsidRPr="00042F26">
        <w:rPr>
          <w:u w:val="single"/>
        </w:rPr>
        <w:t>Caractéristiques du ou des réseaux concernés par ce point de situation</w:t>
      </w:r>
      <w:r w:rsidR="00440585" w:rsidRPr="00042F26">
        <w:t xml:space="preserve"> : </w:t>
      </w:r>
      <w:r w:rsidR="0014560F" w:rsidRPr="00042F26">
        <w:t>se référer à l’</w:t>
      </w:r>
      <w:r w:rsidR="00A534AF" w:rsidRPr="00042F26">
        <w:rPr>
          <w:highlight w:val="green"/>
        </w:rPr>
        <w:t>annexe 1</w:t>
      </w:r>
    </w:p>
    <w:p w14:paraId="1643E006" w14:textId="77777777" w:rsidR="005D0185" w:rsidRDefault="005D0185">
      <w:pPr>
        <w:pStyle w:val="Standard"/>
        <w:rPr>
          <w:rFonts w:hint="eastAsia"/>
          <w:b/>
          <w:bCs/>
        </w:rPr>
      </w:pPr>
    </w:p>
    <w:p w14:paraId="44F6098A" w14:textId="77777777" w:rsidR="00F80346" w:rsidRPr="00F3230F" w:rsidRDefault="00F0127D">
      <w:pPr>
        <w:pStyle w:val="Standard"/>
        <w:rPr>
          <w:rFonts w:hint="eastAsia"/>
          <w:b/>
          <w:bCs/>
        </w:rPr>
      </w:pPr>
      <w:r w:rsidRPr="00F3230F">
        <w:rPr>
          <w:b/>
          <w:bCs/>
        </w:rPr>
        <w:t>3 – Date et état d’avancement de la mise en accessibilité des réseaux</w:t>
      </w:r>
    </w:p>
    <w:p w14:paraId="494D7F62" w14:textId="2AB23745" w:rsidR="00520CF5" w:rsidRDefault="00520CF5">
      <w:pPr>
        <w:pStyle w:val="TableContents"/>
        <w:rPr>
          <w:rFonts w:hint="eastAsia"/>
          <w:b/>
          <w:bCs/>
          <w:shd w:val="clear" w:color="auto" w:fill="FFFF00"/>
        </w:rPr>
      </w:pPr>
    </w:p>
    <w:p w14:paraId="702BE6F3" w14:textId="1C3377B8" w:rsidR="00520CF5" w:rsidRDefault="00520CF5">
      <w:pPr>
        <w:pStyle w:val="TableContents"/>
        <w:rPr>
          <w:rFonts w:hint="eastAsia"/>
          <w:b/>
          <w:bCs/>
          <w:shd w:val="clear" w:color="auto" w:fill="FFFF00"/>
        </w:rPr>
      </w:pPr>
    </w:p>
    <w:p w14:paraId="7D8492ED" w14:textId="110F9679" w:rsidR="00520CF5" w:rsidRPr="002A4D95" w:rsidRDefault="002A4D95" w:rsidP="00520CF5">
      <w:pPr>
        <w:pStyle w:val="TableContents"/>
        <w:numPr>
          <w:ilvl w:val="0"/>
          <w:numId w:val="8"/>
        </w:numPr>
        <w:rPr>
          <w:rFonts w:hint="eastAsia"/>
          <w:b/>
          <w:bCs/>
        </w:rPr>
      </w:pPr>
      <w:r w:rsidRPr="002A4D95">
        <w:rPr>
          <w:b/>
          <w:bCs/>
        </w:rPr>
        <w:t>Sd’AP régional</w:t>
      </w:r>
    </w:p>
    <w:p w14:paraId="3AB0C6DE" w14:textId="77777777" w:rsidR="00F80346" w:rsidRDefault="00F80346">
      <w:pPr>
        <w:pStyle w:val="TableContents"/>
        <w:rPr>
          <w:rFonts w:hint="eastAsia"/>
          <w:b/>
          <w:bCs/>
        </w:rPr>
      </w:pPr>
    </w:p>
    <w:p w14:paraId="2ACA1315" w14:textId="0B6A35CF" w:rsidR="00F80346" w:rsidRPr="00F3230F" w:rsidRDefault="00F0127D">
      <w:pPr>
        <w:pStyle w:val="TableContents"/>
        <w:rPr>
          <w:rFonts w:hint="eastAsia"/>
          <w:bCs/>
          <w:u w:val="single"/>
        </w:rPr>
      </w:pPr>
      <w:r w:rsidRPr="00F3230F">
        <w:rPr>
          <w:bCs/>
          <w:u w:val="single"/>
        </w:rPr>
        <w:t>Etat d’avancement de la mise en accessibilité du réseau</w:t>
      </w:r>
      <w:r w:rsidR="00520CF5">
        <w:rPr>
          <w:bCs/>
          <w:u w:val="single"/>
        </w:rPr>
        <w:t xml:space="preserve"> </w:t>
      </w:r>
    </w:p>
    <w:p w14:paraId="602713CB" w14:textId="4CEE6768" w:rsidR="00F3230F" w:rsidRDefault="00F3230F">
      <w:pPr>
        <w:pStyle w:val="TableContents"/>
        <w:rPr>
          <w:rFonts w:hint="eastAsia"/>
          <w:b/>
          <w:bCs/>
        </w:rPr>
      </w:pPr>
    </w:p>
    <w:p w14:paraId="254ADDB4" w14:textId="65A13CAB" w:rsidR="00F80346" w:rsidRDefault="0014560F">
      <w:pPr>
        <w:pStyle w:val="TableContents"/>
        <w:rPr>
          <w:rFonts w:hint="eastAsia"/>
          <w:b/>
          <w:bCs/>
        </w:rPr>
      </w:pPr>
      <w:r w:rsidRPr="0014560F">
        <w:rPr>
          <w:bCs/>
        </w:rPr>
        <w:t xml:space="preserve">Se référer à </w:t>
      </w:r>
      <w:r>
        <w:rPr>
          <w:bCs/>
          <w:highlight w:val="green"/>
        </w:rPr>
        <w:t>l’annexe 2</w:t>
      </w:r>
    </w:p>
    <w:p w14:paraId="5E9E7D60" w14:textId="2F09DA3E" w:rsidR="00F80346" w:rsidRDefault="00F80346">
      <w:pPr>
        <w:pStyle w:val="Standard"/>
        <w:rPr>
          <w:rFonts w:hint="eastAsia"/>
          <w:b/>
          <w:bCs/>
        </w:rPr>
      </w:pPr>
    </w:p>
    <w:p w14:paraId="28063792" w14:textId="1EEC74BF" w:rsidR="002B16BB" w:rsidRDefault="002B16BB" w:rsidP="00F3230F">
      <w:pPr>
        <w:pStyle w:val="Standard"/>
        <w:numPr>
          <w:ilvl w:val="0"/>
          <w:numId w:val="4"/>
        </w:numPr>
        <w:rPr>
          <w:rFonts w:hint="eastAsia"/>
          <w:b/>
          <w:bCs/>
        </w:rPr>
      </w:pPr>
      <w:r>
        <w:rPr>
          <w:b/>
          <w:bCs/>
        </w:rPr>
        <w:t xml:space="preserve">Sd’AP ex-départementaux </w:t>
      </w:r>
    </w:p>
    <w:p w14:paraId="1357C6AE" w14:textId="1C310722" w:rsidR="002B16BB" w:rsidRDefault="002B16BB" w:rsidP="002B16BB">
      <w:pPr>
        <w:pStyle w:val="Standard"/>
        <w:rPr>
          <w:rFonts w:hint="eastAsia"/>
          <w:b/>
          <w:bCs/>
        </w:rPr>
      </w:pPr>
    </w:p>
    <w:p w14:paraId="4EB17B02" w14:textId="572AF345" w:rsidR="002B16BB" w:rsidRPr="00F3230F" w:rsidRDefault="00F3230F">
      <w:pPr>
        <w:pStyle w:val="Standard"/>
        <w:rPr>
          <w:rFonts w:hint="eastAsia"/>
          <w:bCs/>
          <w:u w:val="single"/>
        </w:rPr>
      </w:pPr>
      <w:r w:rsidRPr="00F3230F">
        <w:rPr>
          <w:bCs/>
          <w:u w:val="single"/>
        </w:rPr>
        <w:t>Etat d’avancement de la mise en accessibilité du réseau</w:t>
      </w:r>
    </w:p>
    <w:p w14:paraId="25C36F84" w14:textId="1BF7C974" w:rsidR="00F3230F" w:rsidRPr="00F3230F" w:rsidRDefault="00F3230F">
      <w:pPr>
        <w:pStyle w:val="Standard"/>
        <w:rPr>
          <w:rFonts w:hint="eastAsia"/>
          <w:bCs/>
        </w:rPr>
      </w:pPr>
    </w:p>
    <w:p w14:paraId="6C70E64F" w14:textId="094339C2" w:rsidR="00F3230F" w:rsidRDefault="0014560F">
      <w:pPr>
        <w:pStyle w:val="Standard"/>
        <w:rPr>
          <w:rFonts w:hint="eastAsia"/>
          <w:bCs/>
          <w:highlight w:val="green"/>
        </w:rPr>
      </w:pPr>
      <w:r w:rsidRPr="0014560F">
        <w:rPr>
          <w:bCs/>
        </w:rPr>
        <w:t xml:space="preserve">Se référer </w:t>
      </w:r>
      <w:r>
        <w:rPr>
          <w:bCs/>
          <w:highlight w:val="green"/>
        </w:rPr>
        <w:t>à l’a</w:t>
      </w:r>
      <w:r w:rsidR="00746017" w:rsidRPr="00746017">
        <w:rPr>
          <w:bCs/>
          <w:highlight w:val="green"/>
        </w:rPr>
        <w:t>nnexe 3</w:t>
      </w:r>
    </w:p>
    <w:p w14:paraId="730B8EE1" w14:textId="77777777" w:rsidR="003D62D7" w:rsidRDefault="003D62D7">
      <w:pPr>
        <w:pStyle w:val="Standard"/>
        <w:rPr>
          <w:rFonts w:hint="eastAsia"/>
          <w:b/>
          <w:bCs/>
        </w:rPr>
      </w:pPr>
    </w:p>
    <w:p w14:paraId="3F0594C0" w14:textId="77777777" w:rsidR="00F3230F" w:rsidRDefault="00F3230F">
      <w:pPr>
        <w:pStyle w:val="Standard"/>
        <w:rPr>
          <w:rFonts w:hint="eastAsia"/>
          <w:b/>
          <w:bCs/>
        </w:rPr>
      </w:pPr>
    </w:p>
    <w:p w14:paraId="013CC3D7" w14:textId="34101F73" w:rsidR="00F80346" w:rsidRDefault="00F0127D">
      <w:pPr>
        <w:pStyle w:val="Standard"/>
        <w:rPr>
          <w:rFonts w:hint="eastAsia"/>
          <w:b/>
          <w:bCs/>
        </w:rPr>
      </w:pPr>
      <w:r>
        <w:rPr>
          <w:b/>
          <w:bCs/>
        </w:rPr>
        <w:t xml:space="preserve">4 – </w:t>
      </w:r>
      <w:r w:rsidR="00F3230F">
        <w:rPr>
          <w:b/>
          <w:bCs/>
        </w:rPr>
        <w:t>Rappel de l’estimation financière initiale du coût des actions de mise en accessibilité programmées sur la période concernée</w:t>
      </w:r>
    </w:p>
    <w:p w14:paraId="69934595" w14:textId="2BDDBF69" w:rsidR="00F3230F" w:rsidRDefault="00F3230F">
      <w:pPr>
        <w:pStyle w:val="Standard"/>
        <w:rPr>
          <w:rFonts w:hint="eastAsia"/>
          <w:b/>
          <w:bCs/>
        </w:rPr>
      </w:pPr>
    </w:p>
    <w:p w14:paraId="7504FB61" w14:textId="7858A69F" w:rsidR="00F3230F" w:rsidRDefault="00F3230F" w:rsidP="00F3230F">
      <w:pPr>
        <w:pStyle w:val="Standard"/>
        <w:numPr>
          <w:ilvl w:val="0"/>
          <w:numId w:val="5"/>
        </w:numPr>
        <w:rPr>
          <w:rFonts w:hint="eastAsia"/>
          <w:b/>
          <w:bCs/>
        </w:rPr>
      </w:pPr>
      <w:r>
        <w:rPr>
          <w:b/>
          <w:bCs/>
        </w:rPr>
        <w:t xml:space="preserve">Sd’AP régional </w:t>
      </w:r>
    </w:p>
    <w:p w14:paraId="7BFD155F" w14:textId="59DDA5B8" w:rsidR="00F3230F" w:rsidRDefault="00F3230F" w:rsidP="00F3230F">
      <w:pPr>
        <w:pStyle w:val="Standard"/>
        <w:rPr>
          <w:rFonts w:hint="eastAsia"/>
          <w:b/>
          <w:bCs/>
        </w:rPr>
      </w:pPr>
    </w:p>
    <w:p w14:paraId="26545D27" w14:textId="77777777" w:rsidR="00EC2072" w:rsidRDefault="007B2393" w:rsidP="000F1AF3">
      <w:pPr>
        <w:pStyle w:val="Standard"/>
        <w:jc w:val="both"/>
        <w:rPr>
          <w:rFonts w:hint="eastAsia"/>
          <w:bCs/>
        </w:rPr>
      </w:pPr>
      <w:r>
        <w:rPr>
          <w:bCs/>
        </w:rPr>
        <w:t>Sd’AP régional ferroviaire</w:t>
      </w:r>
      <w:r w:rsidR="00DB2B2F">
        <w:rPr>
          <w:bCs/>
        </w:rPr>
        <w:t xml:space="preserve"> : </w:t>
      </w:r>
    </w:p>
    <w:p w14:paraId="79862047" w14:textId="77777777" w:rsidR="00EC2072" w:rsidRDefault="00EC2072" w:rsidP="000F1AF3">
      <w:pPr>
        <w:pStyle w:val="Standard"/>
        <w:jc w:val="both"/>
        <w:rPr>
          <w:rFonts w:hint="eastAsia"/>
          <w:bCs/>
        </w:rPr>
      </w:pPr>
    </w:p>
    <w:p w14:paraId="4307751C" w14:textId="0CFF761C" w:rsidR="00EC2072" w:rsidRDefault="00EC2072" w:rsidP="000F1AF3">
      <w:pPr>
        <w:pStyle w:val="Standard"/>
        <w:jc w:val="both"/>
        <w:rPr>
          <w:rFonts w:hint="eastAsia"/>
          <w:bCs/>
        </w:rPr>
      </w:pPr>
      <w:r>
        <w:rPr>
          <w:bCs/>
        </w:rPr>
        <w:t xml:space="preserve">Pour la première période, le coût estimatif sur le périmètre SNCF Réseau s’élevait à </w:t>
      </w:r>
      <w:r w:rsidR="00155A26">
        <w:rPr>
          <w:bCs/>
        </w:rPr>
        <w:t xml:space="preserve">         </w:t>
      </w:r>
      <w:r>
        <w:rPr>
          <w:bCs/>
        </w:rPr>
        <w:t xml:space="preserve">3,62 M€, correspondant à la réalisation de la mise en accessibilité des gares d’Amboise et de Saint Aignan. </w:t>
      </w:r>
    </w:p>
    <w:p w14:paraId="0BB06C4C" w14:textId="0841D344" w:rsidR="00EC2072" w:rsidRDefault="00EC2072" w:rsidP="000F1AF3">
      <w:pPr>
        <w:pStyle w:val="Standard"/>
        <w:jc w:val="both"/>
        <w:rPr>
          <w:rFonts w:hint="eastAsia"/>
          <w:bCs/>
        </w:rPr>
      </w:pPr>
      <w:r>
        <w:rPr>
          <w:bCs/>
        </w:rPr>
        <w:t>P</w:t>
      </w:r>
      <w:r w:rsidR="00984F04">
        <w:rPr>
          <w:bCs/>
        </w:rPr>
        <w:t>o</w:t>
      </w:r>
      <w:r>
        <w:rPr>
          <w:bCs/>
        </w:rPr>
        <w:t xml:space="preserve">ur cette même période, le coût estimatif sur le périmètre SNCF Mobilités s’élevait à </w:t>
      </w:r>
      <w:r w:rsidR="00155A26">
        <w:rPr>
          <w:bCs/>
        </w:rPr>
        <w:t xml:space="preserve">       </w:t>
      </w:r>
      <w:r>
        <w:rPr>
          <w:bCs/>
        </w:rPr>
        <w:t xml:space="preserve">700 k€, correspondant à la mise en </w:t>
      </w:r>
      <w:proofErr w:type="spellStart"/>
      <w:r>
        <w:rPr>
          <w:bCs/>
        </w:rPr>
        <w:t>accessibilté</w:t>
      </w:r>
      <w:proofErr w:type="spellEnd"/>
      <w:r>
        <w:rPr>
          <w:bCs/>
        </w:rPr>
        <w:t xml:space="preserve"> des gares d’Amboise, Chevilly, Epernon, Maintenon, Nogent le Rotrou, Vend</w:t>
      </w:r>
      <w:r w:rsidR="00292A51">
        <w:rPr>
          <w:bCs/>
        </w:rPr>
        <w:t>ô</w:t>
      </w:r>
      <w:r>
        <w:rPr>
          <w:bCs/>
        </w:rPr>
        <w:t>me Ville, Chinon, Illiers-Combray et Saint-Aignan Noyers.</w:t>
      </w:r>
    </w:p>
    <w:p w14:paraId="07A0A2FD" w14:textId="77777777" w:rsidR="00EC2072" w:rsidRDefault="00EC2072" w:rsidP="000F1AF3">
      <w:pPr>
        <w:pStyle w:val="Standard"/>
        <w:jc w:val="both"/>
        <w:rPr>
          <w:rFonts w:hint="eastAsia"/>
          <w:bCs/>
        </w:rPr>
      </w:pPr>
    </w:p>
    <w:p w14:paraId="5AA715ED" w14:textId="77777777" w:rsidR="00B103D2" w:rsidRPr="00D510EC" w:rsidRDefault="00B103D2" w:rsidP="003A77F2">
      <w:pPr>
        <w:pStyle w:val="Standard"/>
        <w:ind w:left="360"/>
        <w:jc w:val="both"/>
        <w:rPr>
          <w:rFonts w:hint="eastAsia"/>
          <w:bCs/>
        </w:rPr>
      </w:pPr>
    </w:p>
    <w:p w14:paraId="5E993F0A" w14:textId="77777777" w:rsidR="00EC2072" w:rsidRDefault="007B2393" w:rsidP="000F1AF3">
      <w:pPr>
        <w:pStyle w:val="Standard"/>
        <w:jc w:val="both"/>
        <w:rPr>
          <w:rFonts w:hint="eastAsia"/>
          <w:bCs/>
        </w:rPr>
      </w:pPr>
      <w:r>
        <w:rPr>
          <w:bCs/>
        </w:rPr>
        <w:t xml:space="preserve">Sd’AP régional routier : </w:t>
      </w:r>
    </w:p>
    <w:p w14:paraId="00432760" w14:textId="77777777" w:rsidR="00EC2072" w:rsidRDefault="00EC2072" w:rsidP="000F1AF3">
      <w:pPr>
        <w:pStyle w:val="Standard"/>
        <w:jc w:val="both"/>
        <w:rPr>
          <w:rFonts w:hint="eastAsia"/>
          <w:bCs/>
        </w:rPr>
      </w:pPr>
    </w:p>
    <w:p w14:paraId="15E6AFD4" w14:textId="6AE34EFC" w:rsidR="00EC2072" w:rsidRDefault="00EC2072" w:rsidP="000F1AF3">
      <w:pPr>
        <w:pStyle w:val="Standard"/>
        <w:jc w:val="both"/>
        <w:rPr>
          <w:rFonts w:hint="eastAsia"/>
          <w:bCs/>
        </w:rPr>
      </w:pPr>
      <w:r>
        <w:rPr>
          <w:bCs/>
        </w:rPr>
        <w:t xml:space="preserve">Sur </w:t>
      </w:r>
      <w:r w:rsidR="007B2393">
        <w:rPr>
          <w:bCs/>
        </w:rPr>
        <w:t xml:space="preserve">la base d’un coût d’aménagement unitaire estimé à 5 000 € TTC hors mobilier, le coût </w:t>
      </w:r>
      <w:r>
        <w:rPr>
          <w:bCs/>
        </w:rPr>
        <w:t xml:space="preserve">estimatif pour la première période s’élevait à 180 k€, correspondant à la mise en accessibilité de 36 points d’arrêt.  </w:t>
      </w:r>
    </w:p>
    <w:p w14:paraId="706D63C5" w14:textId="2F995DC0" w:rsidR="008A495B" w:rsidRDefault="008A495B" w:rsidP="000F1AF3">
      <w:pPr>
        <w:pStyle w:val="Standard"/>
        <w:jc w:val="both"/>
        <w:rPr>
          <w:rFonts w:hint="eastAsia"/>
          <w:bCs/>
        </w:rPr>
      </w:pPr>
    </w:p>
    <w:p w14:paraId="6A3BC77C" w14:textId="1D7551EA" w:rsidR="008A495B" w:rsidRDefault="008A495B" w:rsidP="000F1AF3">
      <w:pPr>
        <w:pStyle w:val="Standard"/>
        <w:jc w:val="both"/>
        <w:rPr>
          <w:rFonts w:hint="eastAsia"/>
          <w:bCs/>
        </w:rPr>
      </w:pPr>
    </w:p>
    <w:p w14:paraId="38D4415E" w14:textId="41DC984D" w:rsidR="003D62D7" w:rsidRDefault="003D62D7" w:rsidP="000F1AF3">
      <w:pPr>
        <w:pStyle w:val="Standard"/>
        <w:jc w:val="both"/>
        <w:rPr>
          <w:rFonts w:hint="eastAsia"/>
          <w:bCs/>
        </w:rPr>
      </w:pPr>
    </w:p>
    <w:p w14:paraId="46CBA40E" w14:textId="0D617E03" w:rsidR="003D62D7" w:rsidRDefault="003D62D7" w:rsidP="000F1AF3">
      <w:pPr>
        <w:pStyle w:val="Standard"/>
        <w:jc w:val="both"/>
        <w:rPr>
          <w:rFonts w:hint="eastAsia"/>
          <w:bCs/>
        </w:rPr>
      </w:pPr>
    </w:p>
    <w:p w14:paraId="702BF328" w14:textId="611C3CF7" w:rsidR="003D62D7" w:rsidRDefault="003D62D7" w:rsidP="000F1AF3">
      <w:pPr>
        <w:pStyle w:val="Standard"/>
        <w:jc w:val="both"/>
        <w:rPr>
          <w:rFonts w:hint="eastAsia"/>
          <w:bCs/>
        </w:rPr>
      </w:pPr>
    </w:p>
    <w:p w14:paraId="135BBE41" w14:textId="77777777" w:rsidR="003D62D7" w:rsidRPr="00D510EC" w:rsidRDefault="003D62D7" w:rsidP="000F1AF3">
      <w:pPr>
        <w:pStyle w:val="Standard"/>
        <w:jc w:val="both"/>
        <w:rPr>
          <w:rFonts w:hint="eastAsia"/>
          <w:bCs/>
        </w:rPr>
      </w:pPr>
    </w:p>
    <w:p w14:paraId="676586A4" w14:textId="0619C581" w:rsidR="00F3230F" w:rsidRDefault="00F3230F" w:rsidP="00F3230F">
      <w:pPr>
        <w:pStyle w:val="Standard"/>
        <w:rPr>
          <w:rFonts w:hint="eastAsia"/>
          <w:b/>
          <w:bCs/>
        </w:rPr>
      </w:pPr>
    </w:p>
    <w:p w14:paraId="25BA90E0" w14:textId="3DE63708" w:rsidR="00F3230F" w:rsidRDefault="00F3230F" w:rsidP="00F3230F">
      <w:pPr>
        <w:pStyle w:val="Standard"/>
        <w:numPr>
          <w:ilvl w:val="0"/>
          <w:numId w:val="5"/>
        </w:numPr>
        <w:rPr>
          <w:rFonts w:hint="eastAsia"/>
          <w:b/>
          <w:bCs/>
        </w:rPr>
      </w:pPr>
      <w:r>
        <w:rPr>
          <w:b/>
          <w:bCs/>
        </w:rPr>
        <w:lastRenderedPageBreak/>
        <w:t xml:space="preserve">Sd’AP ex-départementaux </w:t>
      </w:r>
    </w:p>
    <w:p w14:paraId="43D9FEAE" w14:textId="1E2D512C" w:rsidR="00F3230F" w:rsidRDefault="00F3230F" w:rsidP="00F3230F">
      <w:pPr>
        <w:pStyle w:val="Standard"/>
        <w:rPr>
          <w:rFonts w:hint="eastAsia"/>
          <w:b/>
          <w:bCs/>
        </w:rPr>
      </w:pPr>
    </w:p>
    <w:p w14:paraId="45150653" w14:textId="52A07046" w:rsidR="00730B06" w:rsidRDefault="00730B06" w:rsidP="00F3230F">
      <w:pPr>
        <w:pStyle w:val="Standard"/>
        <w:rPr>
          <w:rFonts w:hint="eastAsia"/>
          <w:bCs/>
        </w:rPr>
      </w:pPr>
    </w:p>
    <w:tbl>
      <w:tblPr>
        <w:tblW w:w="6040" w:type="dxa"/>
        <w:jc w:val="center"/>
        <w:tblCellMar>
          <w:left w:w="70" w:type="dxa"/>
          <w:right w:w="70" w:type="dxa"/>
        </w:tblCellMar>
        <w:tblLook w:val="04A0" w:firstRow="1" w:lastRow="0" w:firstColumn="1" w:lastColumn="0" w:noHBand="0" w:noVBand="1"/>
      </w:tblPr>
      <w:tblGrid>
        <w:gridCol w:w="1200"/>
        <w:gridCol w:w="4840"/>
      </w:tblGrid>
      <w:tr w:rsidR="00EC2072" w:rsidRPr="00730B06" w14:paraId="1B4BEB3F" w14:textId="77777777" w:rsidTr="00155A26">
        <w:trPr>
          <w:trHeight w:val="510"/>
          <w:jc w:val="center"/>
        </w:trPr>
        <w:tc>
          <w:tcPr>
            <w:tcW w:w="1200" w:type="dxa"/>
            <w:tcBorders>
              <w:top w:val="nil"/>
              <w:left w:val="nil"/>
              <w:bottom w:val="nil"/>
              <w:right w:val="nil"/>
            </w:tcBorders>
            <w:shd w:val="clear" w:color="auto" w:fill="auto"/>
            <w:noWrap/>
            <w:vAlign w:val="bottom"/>
            <w:hideMark/>
          </w:tcPr>
          <w:p w14:paraId="32989F8D" w14:textId="77777777" w:rsidR="00EC2072" w:rsidRPr="00730B06" w:rsidRDefault="00EC2072" w:rsidP="00730B06">
            <w:pPr>
              <w:widowControl/>
              <w:suppressAutoHyphens w:val="0"/>
              <w:autoSpaceDN/>
              <w:textAlignment w:val="auto"/>
              <w:rPr>
                <w:rFonts w:ascii="Times New Roman" w:eastAsia="Times New Roman" w:hAnsi="Times New Roman" w:cs="Times New Roman"/>
                <w:kern w:val="0"/>
                <w:lang w:eastAsia="fr-FR" w:bidi="ar-SA"/>
              </w:rPr>
            </w:pP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B5F9" w14:textId="77777777" w:rsidR="00EC2072" w:rsidRPr="00730B06" w:rsidRDefault="00EC2072" w:rsidP="00730B06">
            <w:pPr>
              <w:widowControl/>
              <w:suppressAutoHyphens w:val="0"/>
              <w:autoSpaceDN/>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Estimation financière sur la période concernée</w:t>
            </w:r>
          </w:p>
        </w:tc>
      </w:tr>
      <w:tr w:rsidR="00EC2072" w:rsidRPr="00730B06" w14:paraId="70468720" w14:textId="77777777" w:rsidTr="00155A26">
        <w:trPr>
          <w:trHeight w:val="12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9C03" w14:textId="60700005" w:rsidR="00EC2072" w:rsidRPr="00730B06"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18</w:t>
            </w:r>
          </w:p>
        </w:tc>
        <w:tc>
          <w:tcPr>
            <w:tcW w:w="4840" w:type="dxa"/>
            <w:tcBorders>
              <w:top w:val="nil"/>
              <w:left w:val="nil"/>
              <w:bottom w:val="single" w:sz="4" w:space="0" w:color="auto"/>
              <w:right w:val="single" w:sz="4" w:space="0" w:color="auto"/>
            </w:tcBorders>
            <w:shd w:val="clear" w:color="auto" w:fill="auto"/>
            <w:noWrap/>
            <w:vAlign w:val="center"/>
            <w:hideMark/>
          </w:tcPr>
          <w:p w14:paraId="0F4A0DE9" w14:textId="60529DE9" w:rsidR="00EC2072" w:rsidRPr="00730B06" w:rsidRDefault="00EC2072"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114 900€</w:t>
            </w:r>
          </w:p>
        </w:tc>
      </w:tr>
      <w:tr w:rsidR="00EC2072" w:rsidRPr="00730B06" w14:paraId="5EA5E2BC" w14:textId="77777777" w:rsidTr="00155A26">
        <w:trPr>
          <w:trHeight w:val="9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BAC106" w14:textId="417D01A7" w:rsidR="00EC2072" w:rsidRPr="00730B06"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28</w:t>
            </w:r>
          </w:p>
        </w:tc>
        <w:tc>
          <w:tcPr>
            <w:tcW w:w="4840" w:type="dxa"/>
            <w:tcBorders>
              <w:top w:val="nil"/>
              <w:left w:val="nil"/>
              <w:bottom w:val="single" w:sz="4" w:space="0" w:color="auto"/>
              <w:right w:val="single" w:sz="4" w:space="0" w:color="auto"/>
            </w:tcBorders>
            <w:shd w:val="clear" w:color="auto" w:fill="auto"/>
            <w:vAlign w:val="center"/>
            <w:hideMark/>
          </w:tcPr>
          <w:p w14:paraId="038BDA53" w14:textId="575BB2FC" w:rsidR="00EC2072" w:rsidRPr="00730B06" w:rsidRDefault="00EC2072"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 xml:space="preserve">Programmation non établie </w:t>
            </w:r>
            <w:r w:rsidRPr="00730B06">
              <w:rPr>
                <w:rFonts w:ascii="Calibri" w:eastAsia="Times New Roman" w:hAnsi="Calibri" w:cs="Calibri"/>
                <w:color w:val="000000"/>
                <w:kern w:val="0"/>
                <w:sz w:val="22"/>
                <w:szCs w:val="22"/>
                <w:lang w:eastAsia="fr-FR" w:bidi="ar-SA"/>
              </w:rPr>
              <w:br/>
              <w:t>Une moyenne de 15 arrêts à rendre accessibles par an, pendant 3 ans</w:t>
            </w:r>
            <w:r w:rsidR="00A17F97">
              <w:rPr>
                <w:rFonts w:ascii="Calibri" w:eastAsia="Times New Roman" w:hAnsi="Calibri" w:cs="Calibri"/>
                <w:color w:val="000000"/>
                <w:kern w:val="0"/>
                <w:sz w:val="22"/>
                <w:szCs w:val="22"/>
                <w:lang w:eastAsia="fr-FR" w:bidi="ar-SA"/>
              </w:rPr>
              <w:t xml:space="preserve"> (soit environ 212 800 €)</w:t>
            </w:r>
          </w:p>
        </w:tc>
      </w:tr>
      <w:tr w:rsidR="00EC2072" w:rsidRPr="00730B06" w14:paraId="28BDA853" w14:textId="77777777" w:rsidTr="00155A26">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F82D67" w14:textId="2DD23A88" w:rsidR="00EC2072" w:rsidRPr="00730B06"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37</w:t>
            </w:r>
          </w:p>
        </w:tc>
        <w:tc>
          <w:tcPr>
            <w:tcW w:w="4840" w:type="dxa"/>
            <w:tcBorders>
              <w:top w:val="nil"/>
              <w:left w:val="nil"/>
              <w:bottom w:val="single" w:sz="4" w:space="0" w:color="auto"/>
              <w:right w:val="single" w:sz="4" w:space="0" w:color="auto"/>
            </w:tcBorders>
            <w:shd w:val="clear" w:color="auto" w:fill="auto"/>
            <w:noWrap/>
            <w:vAlign w:val="center"/>
            <w:hideMark/>
          </w:tcPr>
          <w:p w14:paraId="77F2797E" w14:textId="74726E4E" w:rsidR="00EC2072" w:rsidRPr="00730B06" w:rsidRDefault="00EC2072"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540 000€</w:t>
            </w:r>
          </w:p>
        </w:tc>
      </w:tr>
      <w:tr w:rsidR="00EC2072" w:rsidRPr="00730B06" w14:paraId="6BCDDB67" w14:textId="77777777" w:rsidTr="00155A26">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EF4854" w14:textId="0406207D" w:rsidR="00EC2072" w:rsidRPr="00730B06"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41</w:t>
            </w:r>
          </w:p>
        </w:tc>
        <w:tc>
          <w:tcPr>
            <w:tcW w:w="4840" w:type="dxa"/>
            <w:tcBorders>
              <w:top w:val="nil"/>
              <w:left w:val="nil"/>
              <w:bottom w:val="single" w:sz="4" w:space="0" w:color="auto"/>
              <w:right w:val="single" w:sz="4" w:space="0" w:color="auto"/>
            </w:tcBorders>
            <w:shd w:val="clear" w:color="auto" w:fill="auto"/>
            <w:noWrap/>
            <w:vAlign w:val="center"/>
            <w:hideMark/>
          </w:tcPr>
          <w:p w14:paraId="0CB67FA2" w14:textId="77777777" w:rsidR="00EC2072" w:rsidRPr="00730B06" w:rsidRDefault="00EC2072"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992 000 €</w:t>
            </w:r>
          </w:p>
        </w:tc>
      </w:tr>
      <w:tr w:rsidR="00EC2072" w:rsidRPr="00730B06" w14:paraId="2485F9F2" w14:textId="77777777" w:rsidTr="00155A26">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66EA77" w14:textId="7A073A61" w:rsidR="00EC2072" w:rsidRPr="00730B06"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45</w:t>
            </w:r>
          </w:p>
        </w:tc>
        <w:tc>
          <w:tcPr>
            <w:tcW w:w="4840" w:type="dxa"/>
            <w:tcBorders>
              <w:top w:val="nil"/>
              <w:left w:val="nil"/>
              <w:bottom w:val="single" w:sz="4" w:space="0" w:color="auto"/>
              <w:right w:val="single" w:sz="4" w:space="0" w:color="auto"/>
            </w:tcBorders>
            <w:shd w:val="clear" w:color="auto" w:fill="auto"/>
            <w:noWrap/>
            <w:vAlign w:val="center"/>
            <w:hideMark/>
          </w:tcPr>
          <w:p w14:paraId="2E3DAE60" w14:textId="77777777" w:rsidR="00EC2072" w:rsidRPr="00730B06" w:rsidRDefault="00EC2072"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190 000 €</w:t>
            </w:r>
          </w:p>
        </w:tc>
      </w:tr>
      <w:tr w:rsidR="00EC2072" w:rsidRPr="00730B06" w14:paraId="0D27FD58" w14:textId="77777777" w:rsidTr="00155A26">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A6DF" w14:textId="34AAB21A" w:rsidR="00EC2072" w:rsidRDefault="00EC2072" w:rsidP="00730B0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Total</w:t>
            </w:r>
          </w:p>
        </w:tc>
        <w:tc>
          <w:tcPr>
            <w:tcW w:w="4840" w:type="dxa"/>
            <w:tcBorders>
              <w:top w:val="single" w:sz="4" w:space="0" w:color="auto"/>
              <w:left w:val="nil"/>
              <w:bottom w:val="single" w:sz="4" w:space="0" w:color="auto"/>
              <w:right w:val="single" w:sz="4" w:space="0" w:color="auto"/>
            </w:tcBorders>
            <w:shd w:val="clear" w:color="auto" w:fill="auto"/>
            <w:noWrap/>
            <w:vAlign w:val="center"/>
          </w:tcPr>
          <w:p w14:paraId="6BCFB012" w14:textId="64FE9A06" w:rsidR="00EC2072" w:rsidRPr="00730B06" w:rsidRDefault="00A17F97"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2 049 700 €</w:t>
            </w:r>
          </w:p>
        </w:tc>
      </w:tr>
    </w:tbl>
    <w:p w14:paraId="70000A43" w14:textId="4C96AE91" w:rsidR="00730B06" w:rsidRDefault="00730B06" w:rsidP="00F3230F">
      <w:pPr>
        <w:pStyle w:val="Standard"/>
        <w:rPr>
          <w:rFonts w:hint="eastAsia"/>
          <w:bCs/>
        </w:rPr>
      </w:pPr>
    </w:p>
    <w:p w14:paraId="4BB3BED3" w14:textId="77777777" w:rsidR="00730B06" w:rsidRPr="00D510EC" w:rsidRDefault="00730B06" w:rsidP="00F3230F">
      <w:pPr>
        <w:pStyle w:val="Standard"/>
        <w:rPr>
          <w:rFonts w:hint="eastAsia"/>
          <w:bCs/>
        </w:rPr>
      </w:pPr>
    </w:p>
    <w:p w14:paraId="1331BB2B" w14:textId="4EC9C583" w:rsidR="00F80346" w:rsidRDefault="00D510EC" w:rsidP="008129D1">
      <w:pPr>
        <w:pStyle w:val="Standard"/>
        <w:jc w:val="both"/>
        <w:rPr>
          <w:rFonts w:hint="eastAsia"/>
          <w:b/>
          <w:bCs/>
        </w:rPr>
      </w:pPr>
      <w:r>
        <w:rPr>
          <w:b/>
          <w:bCs/>
        </w:rPr>
        <w:t xml:space="preserve">5 – Les dépenses effectivement réalisées à l’issue de ladite période et, en cas d’écart entre ces dépenses et l’estimation initiale, les éléments permettant de le justifier </w:t>
      </w:r>
    </w:p>
    <w:p w14:paraId="2DAB199E" w14:textId="2D853E00" w:rsidR="00D510EC" w:rsidRPr="00730B06" w:rsidRDefault="00D510EC">
      <w:pPr>
        <w:pStyle w:val="Standard"/>
        <w:rPr>
          <w:rFonts w:hint="eastAsia"/>
          <w:b/>
          <w:bCs/>
        </w:rPr>
      </w:pPr>
    </w:p>
    <w:p w14:paraId="6DED2CCF" w14:textId="77777777" w:rsidR="00984F04" w:rsidRDefault="00984F04" w:rsidP="00984F04">
      <w:pPr>
        <w:pStyle w:val="Standard"/>
        <w:rPr>
          <w:rFonts w:hint="eastAsia"/>
          <w:b/>
          <w:bCs/>
        </w:rPr>
      </w:pPr>
    </w:p>
    <w:p w14:paraId="350D5144" w14:textId="5A1E08E3" w:rsidR="00357A32" w:rsidRDefault="00984F04" w:rsidP="00F80464">
      <w:pPr>
        <w:pStyle w:val="Standard"/>
        <w:numPr>
          <w:ilvl w:val="0"/>
          <w:numId w:val="18"/>
        </w:numPr>
        <w:jc w:val="both"/>
        <w:rPr>
          <w:rFonts w:ascii="Arial" w:hAnsi="Arial" w:cs="Arial"/>
          <w:bCs/>
        </w:rPr>
      </w:pPr>
      <w:r>
        <w:rPr>
          <w:b/>
          <w:bCs/>
        </w:rPr>
        <w:t>Sd’AP régional</w:t>
      </w:r>
    </w:p>
    <w:p w14:paraId="1DA070CD" w14:textId="77777777" w:rsidR="00984F04" w:rsidRDefault="00984F04" w:rsidP="00746017">
      <w:pPr>
        <w:pStyle w:val="Standard"/>
        <w:jc w:val="both"/>
        <w:rPr>
          <w:rFonts w:hint="eastAsia"/>
          <w:bCs/>
        </w:rPr>
      </w:pPr>
    </w:p>
    <w:p w14:paraId="3BEC2B38" w14:textId="592FE63C" w:rsidR="00DC71CF" w:rsidRDefault="00984F04" w:rsidP="00746017">
      <w:pPr>
        <w:pStyle w:val="Standard"/>
        <w:jc w:val="both"/>
        <w:rPr>
          <w:rFonts w:hint="eastAsia"/>
          <w:bCs/>
        </w:rPr>
      </w:pPr>
      <w:r>
        <w:rPr>
          <w:bCs/>
        </w:rPr>
        <w:t>Sd’AP régional ferroviaire :</w:t>
      </w:r>
    </w:p>
    <w:p w14:paraId="0FD42E74" w14:textId="77777777" w:rsidR="00984F04" w:rsidRDefault="00984F04" w:rsidP="00746017">
      <w:pPr>
        <w:pStyle w:val="Standard"/>
        <w:jc w:val="both"/>
        <w:rPr>
          <w:rFonts w:ascii="Arial" w:hAnsi="Arial" w:cs="Arial"/>
          <w:bCs/>
        </w:rPr>
      </w:pPr>
    </w:p>
    <w:p w14:paraId="56270C4E" w14:textId="0BD65EC4" w:rsidR="00601DBB" w:rsidRDefault="00601DBB" w:rsidP="00746017">
      <w:pPr>
        <w:pStyle w:val="Standard"/>
        <w:jc w:val="both"/>
        <w:rPr>
          <w:rFonts w:ascii="Arial" w:hAnsi="Arial" w:cs="Arial"/>
          <w:bCs/>
        </w:rPr>
      </w:pPr>
      <w:r>
        <w:rPr>
          <w:rFonts w:ascii="Arial" w:hAnsi="Arial" w:cs="Arial"/>
          <w:bCs/>
        </w:rPr>
        <w:t xml:space="preserve">Périmètre SNCF Réseau : </w:t>
      </w:r>
    </w:p>
    <w:p w14:paraId="02F51EDB" w14:textId="5D0FD6A3" w:rsidR="00984F04" w:rsidRDefault="00984F04" w:rsidP="00357A32">
      <w:pPr>
        <w:pStyle w:val="Standard"/>
        <w:jc w:val="both"/>
        <w:rPr>
          <w:rFonts w:ascii="Arial" w:hAnsi="Arial" w:cs="Arial"/>
          <w:bCs/>
        </w:rPr>
      </w:pPr>
      <w:r>
        <w:rPr>
          <w:rFonts w:ascii="Arial" w:hAnsi="Arial" w:cs="Arial"/>
          <w:bCs/>
        </w:rPr>
        <w:t xml:space="preserve">Seule la mise en accessibilité de la gare d’Amboise a finalement été réalisée (travaux achevés, mise en service des ascenseurs en mars 2020), pour un montant total de 4,2 M€. </w:t>
      </w:r>
    </w:p>
    <w:p w14:paraId="4A099BE5" w14:textId="10AD6DCF" w:rsidR="00357A32" w:rsidRDefault="00357A32" w:rsidP="00357A32">
      <w:pPr>
        <w:pStyle w:val="Standard"/>
        <w:jc w:val="both"/>
        <w:rPr>
          <w:rFonts w:ascii="Arial" w:hAnsi="Arial" w:cs="Arial"/>
          <w:bCs/>
        </w:rPr>
      </w:pPr>
      <w:r>
        <w:rPr>
          <w:rFonts w:ascii="Arial" w:hAnsi="Arial" w:cs="Arial"/>
          <w:bCs/>
        </w:rPr>
        <w:t>La Région finance les projets de mise en accessibilité des gares ferroviaires</w:t>
      </w:r>
      <w:r w:rsidR="008A495B">
        <w:rPr>
          <w:rFonts w:ascii="Arial" w:hAnsi="Arial" w:cs="Arial"/>
          <w:bCs/>
        </w:rPr>
        <w:t xml:space="preserve"> (</w:t>
      </w:r>
      <w:r w:rsidR="00A92C83">
        <w:rPr>
          <w:rFonts w:ascii="Arial" w:hAnsi="Arial" w:cs="Arial"/>
          <w:bCs/>
        </w:rPr>
        <w:t>quais et traversées de voies</w:t>
      </w:r>
      <w:r w:rsidR="008A495B">
        <w:rPr>
          <w:rFonts w:ascii="Arial" w:hAnsi="Arial" w:cs="Arial"/>
          <w:bCs/>
        </w:rPr>
        <w:t>)</w:t>
      </w:r>
      <w:r>
        <w:rPr>
          <w:rFonts w:ascii="Arial" w:hAnsi="Arial" w:cs="Arial"/>
          <w:bCs/>
        </w:rPr>
        <w:t xml:space="preserve"> du Sd’AP régional à 50%, SNCF Réseau et l’Etat les financent respectivement à 25%. </w:t>
      </w:r>
    </w:p>
    <w:p w14:paraId="037D9864" w14:textId="46193E35" w:rsidR="00BB6ECF" w:rsidRDefault="00984F04" w:rsidP="00357A32">
      <w:pPr>
        <w:pStyle w:val="Standard"/>
        <w:jc w:val="both"/>
        <w:rPr>
          <w:rFonts w:ascii="Arial" w:hAnsi="Arial" w:cs="Arial"/>
          <w:bCs/>
        </w:rPr>
      </w:pPr>
      <w:r>
        <w:rPr>
          <w:rFonts w:ascii="Arial" w:hAnsi="Arial" w:cs="Arial"/>
          <w:bCs/>
        </w:rPr>
        <w:t xml:space="preserve">La Région a mandaté sur cette opération 2,1 M€. </w:t>
      </w:r>
    </w:p>
    <w:p w14:paraId="3A5D3305" w14:textId="4D54ACA3" w:rsidR="00984F04" w:rsidRDefault="00984F04" w:rsidP="00357A32">
      <w:pPr>
        <w:pStyle w:val="Standard"/>
        <w:jc w:val="both"/>
        <w:rPr>
          <w:rFonts w:ascii="Arial" w:hAnsi="Arial" w:cs="Arial"/>
          <w:bCs/>
        </w:rPr>
      </w:pPr>
      <w:r>
        <w:rPr>
          <w:rFonts w:ascii="Arial" w:hAnsi="Arial" w:cs="Arial"/>
          <w:bCs/>
        </w:rPr>
        <w:t xml:space="preserve">Concernant la gare de Saint Aignan, les travaux ont été reportés à horizon 2021, faute de ressource disponible </w:t>
      </w:r>
      <w:r w:rsidR="003412B4">
        <w:rPr>
          <w:rFonts w:ascii="Arial" w:hAnsi="Arial" w:cs="Arial"/>
          <w:bCs/>
        </w:rPr>
        <w:t xml:space="preserve">au sein de SNCF Réseau </w:t>
      </w:r>
      <w:r>
        <w:rPr>
          <w:rFonts w:ascii="Arial" w:hAnsi="Arial" w:cs="Arial"/>
          <w:bCs/>
        </w:rPr>
        <w:t xml:space="preserve">pour réaliser les études dans les délais. </w:t>
      </w:r>
    </w:p>
    <w:p w14:paraId="75CB8BAD" w14:textId="77777777" w:rsidR="00984F04" w:rsidRDefault="00984F04" w:rsidP="00357A32">
      <w:pPr>
        <w:pStyle w:val="Standard"/>
        <w:jc w:val="both"/>
        <w:rPr>
          <w:rFonts w:ascii="Arial" w:hAnsi="Arial" w:cs="Arial"/>
          <w:bCs/>
        </w:rPr>
      </w:pPr>
    </w:p>
    <w:p w14:paraId="74B71357" w14:textId="2E6DD47C" w:rsidR="00357A32" w:rsidRDefault="00357A32" w:rsidP="00746017">
      <w:pPr>
        <w:pStyle w:val="Standard"/>
        <w:jc w:val="both"/>
        <w:rPr>
          <w:rFonts w:ascii="Arial" w:hAnsi="Arial" w:cs="Arial"/>
          <w:bCs/>
        </w:rPr>
      </w:pPr>
    </w:p>
    <w:p w14:paraId="467D77D5" w14:textId="6DAE8AA9" w:rsidR="00357A32" w:rsidRDefault="00357A32" w:rsidP="00746017">
      <w:pPr>
        <w:pStyle w:val="Standard"/>
        <w:jc w:val="both"/>
        <w:rPr>
          <w:rFonts w:ascii="Arial" w:hAnsi="Arial" w:cs="Arial"/>
          <w:bCs/>
        </w:rPr>
      </w:pPr>
      <w:r>
        <w:rPr>
          <w:rFonts w:ascii="Arial" w:hAnsi="Arial" w:cs="Arial"/>
          <w:bCs/>
        </w:rPr>
        <w:t xml:space="preserve">Périmètre SNCF Gares et Connexion </w:t>
      </w:r>
    </w:p>
    <w:p w14:paraId="35E65CE2" w14:textId="50440CD9" w:rsidR="00984F04" w:rsidRDefault="00984F04" w:rsidP="00746017">
      <w:pPr>
        <w:pStyle w:val="Standard"/>
        <w:jc w:val="both"/>
        <w:rPr>
          <w:rFonts w:ascii="Arial" w:hAnsi="Arial" w:cs="Arial"/>
          <w:bCs/>
        </w:rPr>
      </w:pPr>
      <w:r>
        <w:rPr>
          <w:rFonts w:ascii="Arial" w:hAnsi="Arial" w:cs="Arial"/>
          <w:bCs/>
        </w:rPr>
        <w:t xml:space="preserve">Les travaux réalisés s’élèvent à 358 k€, correspondant à la mise en accessibilité des gares d’Amboise, Chevilly, Epernon, Maintenon, Nogent-le-Rotrou et Vendôme-Ville, conformément aux montants inscrits au Sd’AP régional.  </w:t>
      </w:r>
    </w:p>
    <w:p w14:paraId="7DA78AB2" w14:textId="77777777" w:rsidR="00984F04" w:rsidRPr="008A495B" w:rsidRDefault="00984F04" w:rsidP="00984F04">
      <w:pPr>
        <w:pStyle w:val="Standard"/>
        <w:jc w:val="both"/>
        <w:rPr>
          <w:rFonts w:ascii="Arial" w:hAnsi="Arial" w:cs="Arial"/>
          <w:bCs/>
        </w:rPr>
      </w:pPr>
      <w:r>
        <w:rPr>
          <w:rFonts w:ascii="Arial" w:hAnsi="Arial" w:cs="Arial"/>
          <w:bCs/>
        </w:rPr>
        <w:t xml:space="preserve">La convention d’investissement 2019-2020 prévoit la mise en accessibilité des bâtiments voyageurs des gares de Chinon, Illiers-Combray et St Aignan – Noyers. </w:t>
      </w:r>
    </w:p>
    <w:p w14:paraId="1E6C4A52" w14:textId="4B0A5578" w:rsidR="00984F04" w:rsidRDefault="00984F04" w:rsidP="00746017">
      <w:pPr>
        <w:pStyle w:val="Standard"/>
        <w:jc w:val="both"/>
        <w:rPr>
          <w:rFonts w:ascii="Arial" w:hAnsi="Arial" w:cs="Arial"/>
          <w:bCs/>
        </w:rPr>
      </w:pPr>
    </w:p>
    <w:p w14:paraId="667DA81F" w14:textId="77777777" w:rsidR="00984F04" w:rsidRDefault="00984F04" w:rsidP="00746017">
      <w:pPr>
        <w:pStyle w:val="Standard"/>
        <w:jc w:val="both"/>
        <w:rPr>
          <w:rFonts w:ascii="Arial" w:hAnsi="Arial" w:cs="Arial"/>
          <w:bCs/>
        </w:rPr>
      </w:pPr>
    </w:p>
    <w:p w14:paraId="1AB16AC6" w14:textId="23CACB4F" w:rsidR="00357A32" w:rsidRDefault="00357A32" w:rsidP="00746017">
      <w:pPr>
        <w:pStyle w:val="Standard"/>
        <w:jc w:val="both"/>
        <w:rPr>
          <w:rFonts w:ascii="Arial" w:hAnsi="Arial" w:cs="Arial"/>
          <w:bCs/>
        </w:rPr>
      </w:pPr>
      <w:r>
        <w:rPr>
          <w:rFonts w:ascii="Arial" w:hAnsi="Arial" w:cs="Arial"/>
          <w:bCs/>
        </w:rPr>
        <w:lastRenderedPageBreak/>
        <w:t>La Région finance</w:t>
      </w:r>
      <w:r w:rsidR="008A495B">
        <w:rPr>
          <w:rFonts w:ascii="Arial" w:hAnsi="Arial" w:cs="Arial"/>
          <w:bCs/>
        </w:rPr>
        <w:t xml:space="preserve"> 100%</w:t>
      </w:r>
      <w:r>
        <w:rPr>
          <w:rFonts w:ascii="Arial" w:hAnsi="Arial" w:cs="Arial"/>
          <w:bCs/>
        </w:rPr>
        <w:t xml:space="preserve"> </w:t>
      </w:r>
      <w:r w:rsidR="008A495B">
        <w:rPr>
          <w:rFonts w:ascii="Arial" w:hAnsi="Arial" w:cs="Arial"/>
          <w:bCs/>
        </w:rPr>
        <w:t>d</w:t>
      </w:r>
      <w:r>
        <w:rPr>
          <w:rFonts w:ascii="Arial" w:hAnsi="Arial" w:cs="Arial"/>
          <w:bCs/>
        </w:rPr>
        <w:t>es projets de mise en accessibilité des gares ferroviaire</w:t>
      </w:r>
      <w:r w:rsidR="008A495B">
        <w:rPr>
          <w:rFonts w:ascii="Arial" w:hAnsi="Arial" w:cs="Arial"/>
          <w:bCs/>
        </w:rPr>
        <w:t>s (mise aux normes de la signalétique, des bâtiments voyageurs et de ses abords</w:t>
      </w:r>
      <w:r>
        <w:rPr>
          <w:rFonts w:ascii="Arial" w:hAnsi="Arial" w:cs="Arial"/>
          <w:bCs/>
        </w:rPr>
        <w:t>) du Sd’AP régional</w:t>
      </w:r>
      <w:r w:rsidR="008A495B">
        <w:rPr>
          <w:rFonts w:ascii="Arial" w:hAnsi="Arial" w:cs="Arial"/>
          <w:bCs/>
        </w:rPr>
        <w:t xml:space="preserve">. </w:t>
      </w:r>
    </w:p>
    <w:p w14:paraId="26462E6E" w14:textId="77777777" w:rsidR="008A495B" w:rsidRDefault="008A495B" w:rsidP="00746017">
      <w:pPr>
        <w:pStyle w:val="Standard"/>
        <w:jc w:val="both"/>
        <w:rPr>
          <w:rFonts w:ascii="Arial" w:hAnsi="Arial" w:cs="Arial"/>
          <w:bCs/>
        </w:rPr>
      </w:pPr>
    </w:p>
    <w:p w14:paraId="4060B2A1" w14:textId="5063E4A7" w:rsidR="004409E3" w:rsidRPr="003118CC" w:rsidRDefault="004409E3" w:rsidP="00746017">
      <w:pPr>
        <w:pStyle w:val="Standard"/>
        <w:jc w:val="both"/>
        <w:rPr>
          <w:rFonts w:ascii="Arial" w:hAnsi="Arial" w:cs="Arial"/>
          <w:bCs/>
        </w:rPr>
      </w:pPr>
    </w:p>
    <w:p w14:paraId="6DF979FF" w14:textId="76590C08" w:rsidR="00984F04" w:rsidRDefault="00984F04" w:rsidP="00984F04">
      <w:pPr>
        <w:pStyle w:val="Standard"/>
        <w:jc w:val="both"/>
        <w:rPr>
          <w:rFonts w:hint="eastAsia"/>
          <w:bCs/>
        </w:rPr>
      </w:pPr>
      <w:r>
        <w:rPr>
          <w:bCs/>
        </w:rPr>
        <w:t xml:space="preserve">Sd’AP régional routier : </w:t>
      </w:r>
    </w:p>
    <w:p w14:paraId="3FA4A66A" w14:textId="77777777" w:rsidR="00984F04" w:rsidRDefault="00984F04" w:rsidP="00746017">
      <w:pPr>
        <w:pStyle w:val="Standard"/>
        <w:jc w:val="both"/>
        <w:rPr>
          <w:rFonts w:ascii="Arial" w:hAnsi="Arial" w:cs="Arial"/>
          <w:bCs/>
        </w:rPr>
      </w:pPr>
    </w:p>
    <w:p w14:paraId="78BA3AB5" w14:textId="5EC56CA0" w:rsidR="008755BB" w:rsidRDefault="0009650F" w:rsidP="00746017">
      <w:pPr>
        <w:pStyle w:val="Standard"/>
        <w:jc w:val="both"/>
        <w:rPr>
          <w:rFonts w:ascii="Arial" w:hAnsi="Arial" w:cs="Arial"/>
          <w:bCs/>
        </w:rPr>
      </w:pPr>
      <w:r>
        <w:rPr>
          <w:rFonts w:ascii="Arial" w:hAnsi="Arial" w:cs="Arial"/>
          <w:bCs/>
        </w:rPr>
        <w:t xml:space="preserve">Concernant les points d’arrêt des lignes </w:t>
      </w:r>
      <w:r w:rsidR="00984F04">
        <w:rPr>
          <w:rFonts w:ascii="Arial" w:hAnsi="Arial" w:cs="Arial"/>
          <w:bCs/>
        </w:rPr>
        <w:t xml:space="preserve">routières </w:t>
      </w:r>
      <w:r>
        <w:rPr>
          <w:rFonts w:ascii="Arial" w:hAnsi="Arial" w:cs="Arial"/>
          <w:bCs/>
        </w:rPr>
        <w:t>ex-TER, un cadre d’intervention financier avait été établi dans le Sd’AP régional</w:t>
      </w:r>
      <w:r w:rsidR="00984F04">
        <w:rPr>
          <w:rFonts w:ascii="Arial" w:hAnsi="Arial" w:cs="Arial"/>
          <w:bCs/>
        </w:rPr>
        <w:t>,</w:t>
      </w:r>
      <w:r w:rsidR="00712CDF">
        <w:rPr>
          <w:rFonts w:ascii="Arial" w:hAnsi="Arial" w:cs="Arial"/>
          <w:bCs/>
        </w:rPr>
        <w:t xml:space="preserve"> mais aucune subvention a été sollicitée de la part des gestionnaires de voirie</w:t>
      </w:r>
      <w:r>
        <w:rPr>
          <w:rFonts w:ascii="Arial" w:hAnsi="Arial" w:cs="Arial"/>
          <w:bCs/>
        </w:rPr>
        <w:t xml:space="preserve">. </w:t>
      </w:r>
      <w:r w:rsidR="00984F04">
        <w:rPr>
          <w:rFonts w:ascii="Arial" w:hAnsi="Arial" w:cs="Arial"/>
          <w:bCs/>
        </w:rPr>
        <w:t xml:space="preserve">De fait, aucun point d’arrêt n’a été rendu accessible dans ce cadre. </w:t>
      </w:r>
    </w:p>
    <w:p w14:paraId="1AD937E7" w14:textId="7D3EB01B" w:rsidR="00984F04" w:rsidRDefault="00984F04" w:rsidP="00746017">
      <w:pPr>
        <w:pStyle w:val="Standard"/>
        <w:jc w:val="both"/>
        <w:rPr>
          <w:rFonts w:ascii="Arial" w:hAnsi="Arial" w:cs="Arial"/>
          <w:bCs/>
        </w:rPr>
      </w:pPr>
    </w:p>
    <w:p w14:paraId="287AF9C6" w14:textId="254EA84A" w:rsidR="00984F04" w:rsidRDefault="00984F04" w:rsidP="00984F04">
      <w:pPr>
        <w:pStyle w:val="Standard"/>
        <w:numPr>
          <w:ilvl w:val="0"/>
          <w:numId w:val="18"/>
        </w:numPr>
        <w:jc w:val="both"/>
        <w:rPr>
          <w:rFonts w:ascii="Arial" w:hAnsi="Arial" w:cs="Arial"/>
          <w:bCs/>
        </w:rPr>
      </w:pPr>
      <w:r>
        <w:rPr>
          <w:b/>
          <w:bCs/>
        </w:rPr>
        <w:t>Sd’AP ex-départementaux</w:t>
      </w:r>
    </w:p>
    <w:p w14:paraId="68F70201" w14:textId="6714C67D" w:rsidR="00984F04" w:rsidRDefault="00984F04" w:rsidP="00746017">
      <w:pPr>
        <w:pStyle w:val="Standard"/>
        <w:jc w:val="both"/>
        <w:rPr>
          <w:rFonts w:ascii="Arial" w:hAnsi="Arial" w:cs="Arial"/>
          <w:bCs/>
        </w:rPr>
      </w:pPr>
    </w:p>
    <w:tbl>
      <w:tblPr>
        <w:tblW w:w="6040" w:type="dxa"/>
        <w:jc w:val="center"/>
        <w:tblCellMar>
          <w:left w:w="70" w:type="dxa"/>
          <w:right w:w="70" w:type="dxa"/>
        </w:tblCellMar>
        <w:tblLook w:val="04A0" w:firstRow="1" w:lastRow="0" w:firstColumn="1" w:lastColumn="0" w:noHBand="0" w:noVBand="1"/>
      </w:tblPr>
      <w:tblGrid>
        <w:gridCol w:w="1200"/>
        <w:gridCol w:w="4840"/>
      </w:tblGrid>
      <w:tr w:rsidR="00984F04" w:rsidRPr="00730B06" w14:paraId="3B924900" w14:textId="77777777" w:rsidTr="00155A26">
        <w:trPr>
          <w:trHeight w:val="510"/>
          <w:jc w:val="center"/>
        </w:trPr>
        <w:tc>
          <w:tcPr>
            <w:tcW w:w="1200" w:type="dxa"/>
            <w:tcBorders>
              <w:top w:val="nil"/>
              <w:left w:val="nil"/>
              <w:bottom w:val="nil"/>
              <w:right w:val="nil"/>
            </w:tcBorders>
            <w:shd w:val="clear" w:color="auto" w:fill="auto"/>
            <w:noWrap/>
            <w:vAlign w:val="bottom"/>
            <w:hideMark/>
          </w:tcPr>
          <w:p w14:paraId="31B0F2A4" w14:textId="77777777" w:rsidR="00984F04" w:rsidRPr="00730B06" w:rsidRDefault="00984F04" w:rsidP="006C32C0">
            <w:pPr>
              <w:widowControl/>
              <w:suppressAutoHyphens w:val="0"/>
              <w:autoSpaceDN/>
              <w:textAlignment w:val="auto"/>
              <w:rPr>
                <w:rFonts w:ascii="Times New Roman" w:eastAsia="Times New Roman" w:hAnsi="Times New Roman" w:cs="Times New Roman"/>
                <w:kern w:val="0"/>
                <w:lang w:eastAsia="fr-FR" w:bidi="ar-SA"/>
              </w:rPr>
            </w:pP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95EAF" w14:textId="77777777" w:rsidR="00984F04" w:rsidRPr="00730B06" w:rsidRDefault="00984F04"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sidRPr="00730B06">
              <w:rPr>
                <w:rFonts w:ascii="Calibri" w:eastAsia="Times New Roman" w:hAnsi="Calibri" w:cs="Calibri"/>
                <w:color w:val="000000"/>
                <w:kern w:val="0"/>
                <w:sz w:val="22"/>
                <w:szCs w:val="22"/>
                <w:lang w:eastAsia="fr-FR" w:bidi="ar-SA"/>
              </w:rPr>
              <w:t>Estimation financière sur la période concernée</w:t>
            </w:r>
          </w:p>
        </w:tc>
      </w:tr>
      <w:tr w:rsidR="00984F04" w:rsidRPr="00730B06" w14:paraId="2388BEE3" w14:textId="77777777" w:rsidTr="00155A26">
        <w:trPr>
          <w:trHeight w:val="12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4E5A" w14:textId="77777777" w:rsidR="00984F04" w:rsidRPr="00730B06"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18</w:t>
            </w:r>
          </w:p>
        </w:tc>
        <w:tc>
          <w:tcPr>
            <w:tcW w:w="4840" w:type="dxa"/>
            <w:tcBorders>
              <w:top w:val="nil"/>
              <w:left w:val="nil"/>
              <w:bottom w:val="single" w:sz="4" w:space="0" w:color="auto"/>
              <w:right w:val="single" w:sz="4" w:space="0" w:color="auto"/>
            </w:tcBorders>
            <w:shd w:val="clear" w:color="auto" w:fill="auto"/>
            <w:noWrap/>
            <w:vAlign w:val="center"/>
            <w:hideMark/>
          </w:tcPr>
          <w:p w14:paraId="1155CC3B" w14:textId="5C80D50D" w:rsidR="00984F04" w:rsidRPr="00730B06" w:rsidRDefault="00292A51"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42 200 </w:t>
            </w:r>
            <w:r w:rsidR="00984F04" w:rsidRPr="00730B06">
              <w:rPr>
                <w:rFonts w:ascii="Calibri" w:eastAsia="Times New Roman" w:hAnsi="Calibri" w:cs="Calibri"/>
                <w:color w:val="000000"/>
                <w:kern w:val="0"/>
                <w:sz w:val="22"/>
                <w:szCs w:val="22"/>
                <w:lang w:eastAsia="fr-FR" w:bidi="ar-SA"/>
              </w:rPr>
              <w:t>€</w:t>
            </w:r>
          </w:p>
        </w:tc>
      </w:tr>
      <w:tr w:rsidR="00984F04" w:rsidRPr="00730B06" w14:paraId="67ADC709" w14:textId="77777777" w:rsidTr="00155A26">
        <w:trPr>
          <w:trHeight w:val="9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0FE0EE" w14:textId="77777777" w:rsidR="00984F04" w:rsidRPr="00730B06"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28</w:t>
            </w:r>
          </w:p>
        </w:tc>
        <w:tc>
          <w:tcPr>
            <w:tcW w:w="4840" w:type="dxa"/>
            <w:tcBorders>
              <w:top w:val="nil"/>
              <w:left w:val="nil"/>
              <w:bottom w:val="single" w:sz="4" w:space="0" w:color="auto"/>
              <w:right w:val="single" w:sz="4" w:space="0" w:color="auto"/>
            </w:tcBorders>
            <w:shd w:val="clear" w:color="auto" w:fill="auto"/>
            <w:vAlign w:val="center"/>
            <w:hideMark/>
          </w:tcPr>
          <w:p w14:paraId="0C34FBD5" w14:textId="33C57142" w:rsidR="00984F04" w:rsidRPr="00730B06" w:rsidRDefault="00292A51"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0</w:t>
            </w:r>
          </w:p>
        </w:tc>
      </w:tr>
      <w:tr w:rsidR="00984F04" w:rsidRPr="00730B06" w14:paraId="68C5D66C" w14:textId="77777777" w:rsidTr="00155A26">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B98801" w14:textId="77777777" w:rsidR="00984F04" w:rsidRPr="00730B06"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37</w:t>
            </w:r>
          </w:p>
        </w:tc>
        <w:tc>
          <w:tcPr>
            <w:tcW w:w="4840" w:type="dxa"/>
            <w:tcBorders>
              <w:top w:val="nil"/>
              <w:left w:val="nil"/>
              <w:bottom w:val="single" w:sz="4" w:space="0" w:color="auto"/>
              <w:right w:val="single" w:sz="4" w:space="0" w:color="auto"/>
            </w:tcBorders>
            <w:shd w:val="clear" w:color="auto" w:fill="auto"/>
            <w:noWrap/>
            <w:vAlign w:val="center"/>
            <w:hideMark/>
          </w:tcPr>
          <w:p w14:paraId="38A338C6" w14:textId="557A32A8" w:rsidR="00984F04" w:rsidRPr="00730B06" w:rsidRDefault="00292A51"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15 000 </w:t>
            </w:r>
            <w:r w:rsidR="00984F04" w:rsidRPr="00730B06">
              <w:rPr>
                <w:rFonts w:ascii="Calibri" w:eastAsia="Times New Roman" w:hAnsi="Calibri" w:cs="Calibri"/>
                <w:color w:val="000000"/>
                <w:kern w:val="0"/>
                <w:sz w:val="22"/>
                <w:szCs w:val="22"/>
                <w:lang w:eastAsia="fr-FR" w:bidi="ar-SA"/>
              </w:rPr>
              <w:t>€</w:t>
            </w:r>
          </w:p>
        </w:tc>
      </w:tr>
      <w:tr w:rsidR="00984F04" w:rsidRPr="00730B06" w14:paraId="3974C494" w14:textId="77777777" w:rsidTr="00155A26">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BFECEA" w14:textId="77777777" w:rsidR="00984F04" w:rsidRPr="00730B06"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41</w:t>
            </w:r>
          </w:p>
        </w:tc>
        <w:tc>
          <w:tcPr>
            <w:tcW w:w="4840" w:type="dxa"/>
            <w:tcBorders>
              <w:top w:val="nil"/>
              <w:left w:val="nil"/>
              <w:bottom w:val="single" w:sz="4" w:space="0" w:color="auto"/>
              <w:right w:val="single" w:sz="4" w:space="0" w:color="auto"/>
            </w:tcBorders>
            <w:shd w:val="clear" w:color="auto" w:fill="auto"/>
            <w:noWrap/>
            <w:vAlign w:val="center"/>
            <w:hideMark/>
          </w:tcPr>
          <w:p w14:paraId="45F09444" w14:textId="268AA808" w:rsidR="00984F04" w:rsidRPr="00730B06" w:rsidRDefault="00292A51"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175 400 € + pôle de Lamotte Beuvron</w:t>
            </w:r>
          </w:p>
        </w:tc>
      </w:tr>
      <w:tr w:rsidR="00984F04" w:rsidRPr="00730B06" w14:paraId="40BD3159" w14:textId="77777777" w:rsidTr="00155A26">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A62D5E" w14:textId="77777777" w:rsidR="00984F04" w:rsidRPr="00730B06"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Dpt </w:t>
            </w:r>
            <w:r w:rsidRPr="00730B06">
              <w:rPr>
                <w:rFonts w:ascii="Calibri" w:eastAsia="Times New Roman" w:hAnsi="Calibri" w:cs="Calibri"/>
                <w:color w:val="000000"/>
                <w:kern w:val="0"/>
                <w:sz w:val="22"/>
                <w:szCs w:val="22"/>
                <w:lang w:eastAsia="fr-FR" w:bidi="ar-SA"/>
              </w:rPr>
              <w:t>45</w:t>
            </w:r>
          </w:p>
        </w:tc>
        <w:tc>
          <w:tcPr>
            <w:tcW w:w="4840" w:type="dxa"/>
            <w:tcBorders>
              <w:top w:val="nil"/>
              <w:left w:val="nil"/>
              <w:bottom w:val="single" w:sz="4" w:space="0" w:color="auto"/>
              <w:right w:val="single" w:sz="4" w:space="0" w:color="auto"/>
            </w:tcBorders>
            <w:shd w:val="clear" w:color="auto" w:fill="auto"/>
            <w:noWrap/>
            <w:vAlign w:val="center"/>
            <w:hideMark/>
          </w:tcPr>
          <w:p w14:paraId="3527538E" w14:textId="42BC4FFA" w:rsidR="00984F04" w:rsidRPr="00730B06" w:rsidRDefault="00292A51"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5</w:t>
            </w:r>
            <w:r w:rsidR="00984F04" w:rsidRPr="00730B06">
              <w:rPr>
                <w:rFonts w:ascii="Calibri" w:eastAsia="Times New Roman" w:hAnsi="Calibri" w:cs="Calibri"/>
                <w:color w:val="000000"/>
                <w:kern w:val="0"/>
                <w:sz w:val="22"/>
                <w:szCs w:val="22"/>
                <w:lang w:eastAsia="fr-FR" w:bidi="ar-SA"/>
              </w:rPr>
              <w:t xml:space="preserve"> </w:t>
            </w:r>
            <w:r>
              <w:rPr>
                <w:rFonts w:ascii="Calibri" w:eastAsia="Times New Roman" w:hAnsi="Calibri" w:cs="Calibri"/>
                <w:color w:val="000000"/>
                <w:kern w:val="0"/>
                <w:sz w:val="22"/>
                <w:szCs w:val="22"/>
                <w:lang w:eastAsia="fr-FR" w:bidi="ar-SA"/>
              </w:rPr>
              <w:t>5</w:t>
            </w:r>
            <w:r w:rsidR="00984F04" w:rsidRPr="00730B06">
              <w:rPr>
                <w:rFonts w:ascii="Calibri" w:eastAsia="Times New Roman" w:hAnsi="Calibri" w:cs="Calibri"/>
                <w:color w:val="000000"/>
                <w:kern w:val="0"/>
                <w:sz w:val="22"/>
                <w:szCs w:val="22"/>
                <w:lang w:eastAsia="fr-FR" w:bidi="ar-SA"/>
              </w:rPr>
              <w:t>00 €</w:t>
            </w:r>
          </w:p>
        </w:tc>
      </w:tr>
      <w:tr w:rsidR="00984F04" w:rsidRPr="00730B06" w14:paraId="507B4F47" w14:textId="77777777" w:rsidTr="00155A26">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AF71A" w14:textId="77777777" w:rsidR="00984F04" w:rsidRDefault="00984F04" w:rsidP="006C32C0">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Total</w:t>
            </w:r>
          </w:p>
        </w:tc>
        <w:tc>
          <w:tcPr>
            <w:tcW w:w="4840" w:type="dxa"/>
            <w:tcBorders>
              <w:top w:val="single" w:sz="4" w:space="0" w:color="auto"/>
              <w:left w:val="nil"/>
              <w:bottom w:val="single" w:sz="4" w:space="0" w:color="auto"/>
              <w:right w:val="single" w:sz="4" w:space="0" w:color="auto"/>
            </w:tcBorders>
            <w:shd w:val="clear" w:color="auto" w:fill="auto"/>
            <w:noWrap/>
            <w:vAlign w:val="center"/>
          </w:tcPr>
          <w:p w14:paraId="66867D21" w14:textId="446FC9E0" w:rsidR="00984F04" w:rsidRPr="00730B06" w:rsidRDefault="00A17F97" w:rsidP="00155A26">
            <w:pPr>
              <w:widowControl/>
              <w:suppressAutoHyphens w:val="0"/>
              <w:autoSpaceDN/>
              <w:jc w:val="center"/>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238 100 €</w:t>
            </w:r>
          </w:p>
        </w:tc>
      </w:tr>
    </w:tbl>
    <w:p w14:paraId="6441D70D" w14:textId="77777777" w:rsidR="00984F04" w:rsidRDefault="00984F04" w:rsidP="00746017">
      <w:pPr>
        <w:pStyle w:val="Standard"/>
        <w:jc w:val="both"/>
        <w:rPr>
          <w:rFonts w:ascii="Arial" w:hAnsi="Arial" w:cs="Arial"/>
          <w:bCs/>
        </w:rPr>
      </w:pPr>
    </w:p>
    <w:p w14:paraId="6361957E" w14:textId="77777777" w:rsidR="00984F04" w:rsidRDefault="00984F04" w:rsidP="00746017">
      <w:pPr>
        <w:pStyle w:val="Standard"/>
        <w:jc w:val="both"/>
        <w:rPr>
          <w:rFonts w:ascii="Arial" w:hAnsi="Arial" w:cs="Arial"/>
          <w:bCs/>
        </w:rPr>
      </w:pPr>
    </w:p>
    <w:p w14:paraId="2347B077" w14:textId="137AEF55" w:rsidR="004409E3" w:rsidRDefault="003118CC" w:rsidP="00746017">
      <w:pPr>
        <w:pStyle w:val="Standard"/>
        <w:jc w:val="both"/>
        <w:rPr>
          <w:rFonts w:ascii="Arial" w:hAnsi="Arial" w:cs="Arial"/>
          <w:bCs/>
        </w:rPr>
      </w:pPr>
      <w:r w:rsidRPr="003118CC">
        <w:rPr>
          <w:rFonts w:ascii="Arial" w:hAnsi="Arial" w:cs="Arial"/>
          <w:bCs/>
        </w:rPr>
        <w:t xml:space="preserve">Les points d’arrêt rendus accessibles depuis le transfert </w:t>
      </w:r>
      <w:r w:rsidR="00292A51">
        <w:rPr>
          <w:rFonts w:ascii="Arial" w:hAnsi="Arial" w:cs="Arial"/>
          <w:bCs/>
        </w:rPr>
        <w:t xml:space="preserve">à la Région </w:t>
      </w:r>
      <w:r w:rsidRPr="003118CC">
        <w:rPr>
          <w:rFonts w:ascii="Arial" w:hAnsi="Arial" w:cs="Arial"/>
          <w:bCs/>
        </w:rPr>
        <w:t>ont fait l’objet de travaux</w:t>
      </w:r>
      <w:r w:rsidR="00E97689">
        <w:rPr>
          <w:rFonts w:ascii="Arial" w:hAnsi="Arial" w:cs="Arial"/>
          <w:bCs/>
        </w:rPr>
        <w:t xml:space="preserve"> réalisés</w:t>
      </w:r>
      <w:r w:rsidRPr="003118CC">
        <w:rPr>
          <w:rFonts w:ascii="Arial" w:hAnsi="Arial" w:cs="Arial"/>
          <w:bCs/>
        </w:rPr>
        <w:t xml:space="preserve"> principalement par les communes dans le cadre de projets communaux ou de déplacements de points d’arrêt</w:t>
      </w:r>
      <w:r w:rsidR="00C206D9">
        <w:rPr>
          <w:rFonts w:ascii="Arial" w:hAnsi="Arial" w:cs="Arial"/>
          <w:bCs/>
        </w:rPr>
        <w:t xml:space="preserve"> routiers</w:t>
      </w:r>
      <w:r w:rsidR="004A0E24">
        <w:rPr>
          <w:rFonts w:ascii="Arial" w:hAnsi="Arial" w:cs="Arial"/>
          <w:bCs/>
        </w:rPr>
        <w:t xml:space="preserve"> (voir point 8 sur l</w:t>
      </w:r>
      <w:r w:rsidR="00BD6095">
        <w:rPr>
          <w:rFonts w:ascii="Arial" w:hAnsi="Arial" w:cs="Arial"/>
          <w:bCs/>
        </w:rPr>
        <w:t xml:space="preserve">es conditions de </w:t>
      </w:r>
      <w:r w:rsidR="004A0E24">
        <w:rPr>
          <w:rFonts w:ascii="Arial" w:hAnsi="Arial" w:cs="Arial"/>
          <w:bCs/>
        </w:rPr>
        <w:t xml:space="preserve">mise en œuvre des Sd’AP). </w:t>
      </w:r>
      <w:r w:rsidR="00A04364">
        <w:rPr>
          <w:rFonts w:ascii="Arial" w:hAnsi="Arial" w:cs="Arial"/>
          <w:bCs/>
        </w:rPr>
        <w:t xml:space="preserve">Du fait d’une répartition des compétences peu </w:t>
      </w:r>
      <w:r w:rsidR="008755BB">
        <w:rPr>
          <w:rFonts w:ascii="Arial" w:hAnsi="Arial" w:cs="Arial"/>
          <w:bCs/>
        </w:rPr>
        <w:t>claire</w:t>
      </w:r>
      <w:r w:rsidR="00A04364">
        <w:rPr>
          <w:rFonts w:ascii="Arial" w:hAnsi="Arial" w:cs="Arial"/>
          <w:bCs/>
        </w:rPr>
        <w:t xml:space="preserve"> entre AOM et gestionnaire de voirie</w:t>
      </w:r>
      <w:r w:rsidR="003D62D7">
        <w:rPr>
          <w:rFonts w:ascii="Arial" w:hAnsi="Arial" w:cs="Arial"/>
          <w:bCs/>
        </w:rPr>
        <w:t xml:space="preserve"> (</w:t>
      </w:r>
      <w:proofErr w:type="spellStart"/>
      <w:r w:rsidR="003D62D7" w:rsidRPr="003D62D7">
        <w:rPr>
          <w:rFonts w:ascii="Arial" w:hAnsi="Arial" w:cs="Arial"/>
          <w:bCs/>
          <w:i/>
        </w:rPr>
        <w:t>cf</w:t>
      </w:r>
      <w:proofErr w:type="spellEnd"/>
      <w:r w:rsidR="003D62D7" w:rsidRPr="003D62D7">
        <w:rPr>
          <w:rFonts w:ascii="Arial" w:hAnsi="Arial" w:cs="Arial"/>
          <w:bCs/>
          <w:i/>
        </w:rPr>
        <w:t xml:space="preserve"> infra</w:t>
      </w:r>
      <w:r w:rsidR="003D62D7">
        <w:rPr>
          <w:rFonts w:ascii="Arial" w:hAnsi="Arial" w:cs="Arial"/>
          <w:bCs/>
        </w:rPr>
        <w:t>)</w:t>
      </w:r>
      <w:r w:rsidR="00A04364">
        <w:rPr>
          <w:rFonts w:ascii="Arial" w:hAnsi="Arial" w:cs="Arial"/>
          <w:bCs/>
        </w:rPr>
        <w:t xml:space="preserve">, </w:t>
      </w:r>
      <w:r w:rsidR="00292A51">
        <w:rPr>
          <w:rFonts w:ascii="Arial" w:hAnsi="Arial" w:cs="Arial"/>
          <w:bCs/>
        </w:rPr>
        <w:t>la mise en accessibilité des points d’arrêts sur voirie départementale n’a de son côté quasiment pas été réalisée.</w:t>
      </w:r>
    </w:p>
    <w:p w14:paraId="6E3C46B9" w14:textId="77777777" w:rsidR="003D62D7" w:rsidRPr="003118CC" w:rsidRDefault="003D62D7" w:rsidP="00746017">
      <w:pPr>
        <w:pStyle w:val="Standard"/>
        <w:jc w:val="both"/>
        <w:rPr>
          <w:rFonts w:ascii="Arial" w:hAnsi="Arial" w:cs="Arial"/>
          <w:bCs/>
        </w:rPr>
      </w:pPr>
    </w:p>
    <w:p w14:paraId="447CB936" w14:textId="4AF45FFF" w:rsidR="00D510EC" w:rsidRDefault="00D510EC">
      <w:pPr>
        <w:pStyle w:val="Standard"/>
        <w:rPr>
          <w:rFonts w:hint="eastAsia"/>
          <w:b/>
          <w:bCs/>
        </w:rPr>
      </w:pPr>
    </w:p>
    <w:p w14:paraId="1C139DBE" w14:textId="2B91D4BE" w:rsidR="00D510EC" w:rsidRDefault="00D510EC">
      <w:pPr>
        <w:pStyle w:val="Standard"/>
        <w:rPr>
          <w:rFonts w:hint="eastAsia"/>
          <w:b/>
          <w:bCs/>
        </w:rPr>
      </w:pPr>
      <w:r>
        <w:rPr>
          <w:b/>
          <w:bCs/>
        </w:rPr>
        <w:t xml:space="preserve">6 – La projection actualisée des coûts pour </w:t>
      </w:r>
      <w:r w:rsidR="00297C50">
        <w:rPr>
          <w:b/>
          <w:bCs/>
        </w:rPr>
        <w:t xml:space="preserve">la ou les périodes restant à courir </w:t>
      </w:r>
    </w:p>
    <w:p w14:paraId="36C880AA" w14:textId="74C6FDC1" w:rsidR="003118CC" w:rsidRDefault="003118CC">
      <w:pPr>
        <w:pStyle w:val="Standard"/>
        <w:rPr>
          <w:rFonts w:hint="eastAsia"/>
          <w:b/>
          <w:bCs/>
        </w:rPr>
      </w:pPr>
    </w:p>
    <w:p w14:paraId="69A119AD" w14:textId="77777777" w:rsidR="0072763E" w:rsidRPr="0072763E" w:rsidRDefault="003118CC" w:rsidP="00CD6A98">
      <w:pPr>
        <w:pStyle w:val="NormalWeb"/>
        <w:jc w:val="both"/>
        <w:rPr>
          <w:rFonts w:ascii="Arial" w:hAnsi="Arial" w:cs="Arial"/>
          <w:b/>
          <w:bCs/>
          <w:szCs w:val="24"/>
          <w:u w:val="single"/>
        </w:rPr>
      </w:pPr>
      <w:r w:rsidRPr="0072763E">
        <w:rPr>
          <w:rFonts w:ascii="Arial" w:hAnsi="Arial" w:cs="Arial"/>
          <w:b/>
          <w:bCs/>
          <w:szCs w:val="24"/>
          <w:u w:val="single"/>
        </w:rPr>
        <w:t>Volet ferroviaire</w:t>
      </w:r>
      <w:r w:rsidRPr="0072763E">
        <w:rPr>
          <w:rFonts w:ascii="Arial" w:hAnsi="Arial" w:cs="Arial"/>
          <w:b/>
          <w:bCs/>
          <w:szCs w:val="24"/>
        </w:rPr>
        <w:t> </w:t>
      </w:r>
    </w:p>
    <w:p w14:paraId="44DCA3B2" w14:textId="77777777" w:rsidR="0072763E" w:rsidRDefault="0072763E" w:rsidP="00CD6A98">
      <w:pPr>
        <w:pStyle w:val="NormalWeb"/>
        <w:jc w:val="both"/>
        <w:rPr>
          <w:rFonts w:ascii="Arial" w:hAnsi="Arial" w:cs="Arial"/>
          <w:b/>
          <w:bCs/>
          <w:szCs w:val="24"/>
        </w:rPr>
      </w:pPr>
    </w:p>
    <w:p w14:paraId="0DA04CBD" w14:textId="2C8D999A" w:rsidR="008755BB" w:rsidRDefault="0072763E" w:rsidP="00CD6A98">
      <w:pPr>
        <w:pStyle w:val="NormalWeb"/>
        <w:jc w:val="both"/>
        <w:rPr>
          <w:rFonts w:ascii="Arial" w:hAnsi="Arial" w:cs="Arial"/>
          <w:b/>
          <w:bCs/>
          <w:szCs w:val="24"/>
        </w:rPr>
      </w:pPr>
      <w:r>
        <w:rPr>
          <w:rFonts w:ascii="Arial" w:hAnsi="Arial" w:cs="Arial"/>
          <w:b/>
          <w:bCs/>
          <w:szCs w:val="24"/>
        </w:rPr>
        <w:t>SNCF Réseau :</w:t>
      </w:r>
      <w:r w:rsidR="003118CC" w:rsidRPr="003118CC">
        <w:rPr>
          <w:rFonts w:ascii="Arial" w:hAnsi="Arial" w:cs="Arial"/>
          <w:b/>
          <w:bCs/>
          <w:szCs w:val="24"/>
        </w:rPr>
        <w:t xml:space="preserve"> </w:t>
      </w:r>
    </w:p>
    <w:p w14:paraId="4F4A7A2B" w14:textId="77777777" w:rsidR="00292A51" w:rsidRDefault="00292A51" w:rsidP="00CD6A98">
      <w:pPr>
        <w:pStyle w:val="NormalWeb"/>
        <w:jc w:val="both"/>
        <w:rPr>
          <w:rFonts w:ascii="Arial" w:hAnsi="Arial" w:cs="Arial"/>
          <w:b/>
          <w:bCs/>
          <w:szCs w:val="24"/>
        </w:rPr>
      </w:pPr>
    </w:p>
    <w:p w14:paraId="5BAD41BF" w14:textId="434EFD65" w:rsidR="003118CC" w:rsidRPr="003118CC" w:rsidRDefault="008755BB" w:rsidP="00CD6A98">
      <w:pPr>
        <w:pStyle w:val="NormalWeb"/>
        <w:jc w:val="both"/>
        <w:rPr>
          <w:rFonts w:ascii="Arial" w:eastAsia="Times New Roman" w:hAnsi="Arial" w:cs="Arial"/>
          <w:kern w:val="0"/>
          <w:szCs w:val="24"/>
          <w:lang w:eastAsia="fr-FR" w:bidi="ar-SA"/>
        </w:rPr>
      </w:pPr>
      <w:r>
        <w:rPr>
          <w:rFonts w:ascii="Arial" w:eastAsia="Times New Roman" w:hAnsi="Arial" w:cs="Arial"/>
          <w:kern w:val="0"/>
          <w:szCs w:val="24"/>
          <w:lang w:eastAsia="fr-FR" w:bidi="ar-SA"/>
        </w:rPr>
        <w:t xml:space="preserve">L’enveloppe </w:t>
      </w:r>
      <w:r w:rsidR="00DD3694">
        <w:rPr>
          <w:rFonts w:ascii="Arial" w:eastAsia="Times New Roman" w:hAnsi="Arial" w:cs="Arial"/>
          <w:kern w:val="0"/>
          <w:szCs w:val="24"/>
          <w:lang w:eastAsia="fr-FR" w:bidi="ar-SA"/>
        </w:rPr>
        <w:t>prévisionnelle globale est augmentée d’environ 10M€, passant de 44,6M€ dans les engagements du Sd’AP à 55M€ pour les raisons suivantes :</w:t>
      </w:r>
    </w:p>
    <w:p w14:paraId="20C015DA" w14:textId="77777777" w:rsidR="003118CC" w:rsidRPr="003118CC" w:rsidRDefault="003118CC" w:rsidP="003118CC">
      <w:pPr>
        <w:widowControl/>
        <w:suppressAutoHyphens w:val="0"/>
        <w:autoSpaceDN/>
        <w:textAlignment w:val="auto"/>
        <w:rPr>
          <w:rFonts w:ascii="Arial" w:eastAsia="Times New Roman" w:hAnsi="Arial" w:cs="Arial"/>
          <w:kern w:val="0"/>
          <w:lang w:eastAsia="fr-FR" w:bidi="ar-SA"/>
        </w:rPr>
      </w:pPr>
      <w:r w:rsidRPr="003118CC">
        <w:rPr>
          <w:rFonts w:ascii="Arial" w:eastAsia="Times New Roman" w:hAnsi="Arial" w:cs="Arial"/>
          <w:kern w:val="0"/>
          <w:lang w:eastAsia="fr-FR" w:bidi="ar-SA"/>
        </w:rPr>
        <w:lastRenderedPageBreak/>
        <w:t> </w:t>
      </w:r>
    </w:p>
    <w:p w14:paraId="07227740" w14:textId="054610F9" w:rsidR="00DC71CF" w:rsidRPr="00DC71CF" w:rsidRDefault="00DC71CF" w:rsidP="00DC71CF">
      <w:pPr>
        <w:widowControl/>
        <w:numPr>
          <w:ilvl w:val="0"/>
          <w:numId w:val="16"/>
        </w:numPr>
        <w:suppressAutoHyphens w:val="0"/>
        <w:autoSpaceDN/>
        <w:ind w:left="540"/>
        <w:jc w:val="both"/>
        <w:textAlignment w:val="center"/>
        <w:rPr>
          <w:rFonts w:ascii="Arial" w:eastAsia="Times New Roman" w:hAnsi="Arial" w:cs="Arial"/>
          <w:kern w:val="0"/>
          <w:lang w:eastAsia="fr-FR" w:bidi="ar-SA"/>
        </w:rPr>
      </w:pPr>
      <w:r>
        <w:rPr>
          <w:rFonts w:ascii="Arial" w:eastAsia="Times New Roman" w:hAnsi="Arial" w:cs="Arial"/>
          <w:kern w:val="0"/>
          <w:lang w:eastAsia="fr-FR" w:bidi="ar-SA"/>
        </w:rPr>
        <w:t xml:space="preserve">A la suite d’une étude préliminaire réalisée en 2017, le coût des travaux pour rendre accessible la gare de </w:t>
      </w:r>
      <w:r w:rsidRPr="003118CC">
        <w:rPr>
          <w:rFonts w:ascii="Arial" w:eastAsia="Times New Roman" w:hAnsi="Arial" w:cs="Arial"/>
          <w:kern w:val="0"/>
          <w:lang w:eastAsia="fr-FR" w:bidi="ar-SA"/>
        </w:rPr>
        <w:t xml:space="preserve">Chevilly, </w:t>
      </w:r>
      <w:r>
        <w:rPr>
          <w:rFonts w:ascii="Arial" w:eastAsia="Times New Roman" w:hAnsi="Arial" w:cs="Arial"/>
          <w:kern w:val="0"/>
          <w:lang w:eastAsia="fr-FR" w:bidi="ar-SA"/>
        </w:rPr>
        <w:t xml:space="preserve">a augmenté de 1,95M€ </w:t>
      </w:r>
      <w:r w:rsidRPr="003118CC">
        <w:rPr>
          <w:rFonts w:ascii="Arial" w:eastAsia="Times New Roman" w:hAnsi="Arial" w:cs="Arial"/>
          <w:kern w:val="0"/>
          <w:lang w:eastAsia="fr-FR" w:bidi="ar-SA"/>
        </w:rPr>
        <w:t>passant de 2</w:t>
      </w:r>
      <w:r>
        <w:rPr>
          <w:rFonts w:ascii="Arial" w:eastAsia="Times New Roman" w:hAnsi="Arial" w:cs="Arial"/>
          <w:kern w:val="0"/>
          <w:lang w:eastAsia="fr-FR" w:bidi="ar-SA"/>
        </w:rPr>
        <w:t>,05M</w:t>
      </w:r>
      <w:r w:rsidRPr="003118CC">
        <w:rPr>
          <w:rFonts w:ascii="Arial" w:eastAsia="Times New Roman" w:hAnsi="Arial" w:cs="Arial"/>
          <w:kern w:val="0"/>
          <w:lang w:eastAsia="fr-FR" w:bidi="ar-SA"/>
        </w:rPr>
        <w:t>€ à 4</w:t>
      </w:r>
      <w:r>
        <w:rPr>
          <w:rFonts w:ascii="Arial" w:eastAsia="Times New Roman" w:hAnsi="Arial" w:cs="Arial"/>
          <w:kern w:val="0"/>
          <w:lang w:eastAsia="fr-FR" w:bidi="ar-SA"/>
        </w:rPr>
        <w:t>M</w:t>
      </w:r>
      <w:r w:rsidRPr="003118CC">
        <w:rPr>
          <w:rFonts w:ascii="Arial" w:eastAsia="Times New Roman" w:hAnsi="Arial" w:cs="Arial"/>
          <w:kern w:val="0"/>
          <w:lang w:eastAsia="fr-FR" w:bidi="ar-SA"/>
        </w:rPr>
        <w:t xml:space="preserve">€ </w:t>
      </w:r>
    </w:p>
    <w:p w14:paraId="04132165" w14:textId="38FC6D3E" w:rsidR="003118CC" w:rsidRDefault="00DD3694" w:rsidP="00746017">
      <w:pPr>
        <w:widowControl/>
        <w:numPr>
          <w:ilvl w:val="0"/>
          <w:numId w:val="16"/>
        </w:numPr>
        <w:suppressAutoHyphens w:val="0"/>
        <w:autoSpaceDN/>
        <w:ind w:left="540"/>
        <w:jc w:val="both"/>
        <w:textAlignment w:val="center"/>
        <w:rPr>
          <w:rFonts w:ascii="Arial" w:eastAsia="Times New Roman" w:hAnsi="Arial" w:cs="Arial"/>
          <w:kern w:val="0"/>
          <w:lang w:eastAsia="fr-FR" w:bidi="ar-SA"/>
        </w:rPr>
      </w:pPr>
      <w:r>
        <w:rPr>
          <w:rFonts w:ascii="Arial" w:eastAsia="Times New Roman" w:hAnsi="Arial" w:cs="Arial"/>
          <w:kern w:val="0"/>
          <w:lang w:eastAsia="fr-FR" w:bidi="ar-SA"/>
        </w:rPr>
        <w:t xml:space="preserve">À la suite d’une première étude préliminaire réalisée en 2018, le coût des travaux pour rendre accessible la gare de Maintenon a augmenté de 8,5M€ </w:t>
      </w:r>
      <w:r w:rsidR="003118CC" w:rsidRPr="003118CC">
        <w:rPr>
          <w:rFonts w:ascii="Arial" w:eastAsia="Times New Roman" w:hAnsi="Arial" w:cs="Arial"/>
          <w:kern w:val="0"/>
          <w:lang w:eastAsia="fr-FR" w:bidi="ar-SA"/>
        </w:rPr>
        <w:t>passant de 1</w:t>
      </w:r>
      <w:r>
        <w:rPr>
          <w:rFonts w:ascii="Arial" w:eastAsia="Times New Roman" w:hAnsi="Arial" w:cs="Arial"/>
          <w:kern w:val="0"/>
          <w:lang w:eastAsia="fr-FR" w:bidi="ar-SA"/>
        </w:rPr>
        <w:t>,95M</w:t>
      </w:r>
      <w:r w:rsidR="003118CC">
        <w:rPr>
          <w:rFonts w:ascii="Arial" w:eastAsia="Times New Roman" w:hAnsi="Arial" w:cs="Arial"/>
          <w:kern w:val="0"/>
          <w:lang w:eastAsia="fr-FR" w:bidi="ar-SA"/>
        </w:rPr>
        <w:t>€ à 10</w:t>
      </w:r>
      <w:r>
        <w:rPr>
          <w:rFonts w:ascii="Arial" w:eastAsia="Times New Roman" w:hAnsi="Arial" w:cs="Arial"/>
          <w:kern w:val="0"/>
          <w:lang w:eastAsia="fr-FR" w:bidi="ar-SA"/>
        </w:rPr>
        <w:t xml:space="preserve">M€. </w:t>
      </w:r>
    </w:p>
    <w:p w14:paraId="46F7BBB7" w14:textId="51F344F4" w:rsidR="00F35E4F" w:rsidRPr="003118CC" w:rsidRDefault="00F35E4F" w:rsidP="00746017">
      <w:pPr>
        <w:widowControl/>
        <w:numPr>
          <w:ilvl w:val="0"/>
          <w:numId w:val="16"/>
        </w:numPr>
        <w:suppressAutoHyphens w:val="0"/>
        <w:autoSpaceDN/>
        <w:ind w:left="540"/>
        <w:jc w:val="both"/>
        <w:textAlignment w:val="center"/>
        <w:rPr>
          <w:rFonts w:ascii="Arial" w:eastAsia="Times New Roman" w:hAnsi="Arial" w:cs="Arial"/>
          <w:kern w:val="0"/>
          <w:lang w:eastAsia="fr-FR" w:bidi="ar-SA"/>
        </w:rPr>
      </w:pPr>
      <w:r>
        <w:rPr>
          <w:rFonts w:ascii="Arial" w:eastAsia="Times New Roman" w:hAnsi="Arial" w:cs="Arial"/>
          <w:kern w:val="0"/>
          <w:lang w:eastAsia="fr-FR" w:bidi="ar-SA"/>
        </w:rPr>
        <w:t xml:space="preserve">En revanche, pour Nogent le Rotrou, le coût des travaux a été réactualisé à la baisse (de 0.5M€), </w:t>
      </w:r>
      <w:proofErr w:type="gramStart"/>
      <w:r>
        <w:rPr>
          <w:rFonts w:ascii="Arial" w:eastAsia="Times New Roman" w:hAnsi="Arial" w:cs="Arial"/>
          <w:kern w:val="0"/>
          <w:lang w:eastAsia="fr-FR" w:bidi="ar-SA"/>
        </w:rPr>
        <w:t xml:space="preserve">suite </w:t>
      </w:r>
      <w:r w:rsidR="008755BB">
        <w:rPr>
          <w:rFonts w:ascii="Arial" w:eastAsia="Times New Roman" w:hAnsi="Arial" w:cs="Arial"/>
          <w:kern w:val="0"/>
          <w:lang w:eastAsia="fr-FR" w:bidi="ar-SA"/>
        </w:rPr>
        <w:t>aux</w:t>
      </w:r>
      <w:proofErr w:type="gramEnd"/>
      <w:r w:rsidR="008755BB">
        <w:rPr>
          <w:rFonts w:ascii="Arial" w:eastAsia="Times New Roman" w:hAnsi="Arial" w:cs="Arial"/>
          <w:kern w:val="0"/>
          <w:lang w:eastAsia="fr-FR" w:bidi="ar-SA"/>
        </w:rPr>
        <w:t xml:space="preserve"> études d’</w:t>
      </w:r>
      <w:r>
        <w:rPr>
          <w:rFonts w:ascii="Arial" w:eastAsia="Times New Roman" w:hAnsi="Arial" w:cs="Arial"/>
          <w:kern w:val="0"/>
          <w:lang w:eastAsia="fr-FR" w:bidi="ar-SA"/>
        </w:rPr>
        <w:t>APO.</w:t>
      </w:r>
    </w:p>
    <w:p w14:paraId="446862A6" w14:textId="1F92D0B1" w:rsidR="00B97D10" w:rsidRDefault="00B97D10">
      <w:pPr>
        <w:pStyle w:val="Standard"/>
        <w:rPr>
          <w:rFonts w:hint="eastAsia"/>
          <w:b/>
          <w:bCs/>
        </w:rPr>
      </w:pPr>
    </w:p>
    <w:p w14:paraId="5E5CEBCB" w14:textId="773D9990" w:rsidR="0072763E" w:rsidRDefault="0072763E">
      <w:pPr>
        <w:pStyle w:val="Standard"/>
        <w:rPr>
          <w:rFonts w:hint="eastAsia"/>
          <w:b/>
          <w:bCs/>
        </w:rPr>
      </w:pPr>
      <w:r>
        <w:rPr>
          <w:b/>
          <w:bCs/>
        </w:rPr>
        <w:t xml:space="preserve">SNCF Gares et Connexions : voir tableau à l’article </w:t>
      </w:r>
      <w:r w:rsidR="00152FF3">
        <w:rPr>
          <w:b/>
          <w:bCs/>
        </w:rPr>
        <w:t>7</w:t>
      </w:r>
    </w:p>
    <w:p w14:paraId="7BB94D90" w14:textId="77777777" w:rsidR="00292A51" w:rsidRDefault="00292A51">
      <w:pPr>
        <w:pStyle w:val="Standard"/>
        <w:rPr>
          <w:rFonts w:hint="eastAsia"/>
          <w:bCs/>
        </w:rPr>
      </w:pPr>
    </w:p>
    <w:p w14:paraId="062C45D7" w14:textId="3C8F4CBD" w:rsidR="003118CC" w:rsidRDefault="00292A51">
      <w:pPr>
        <w:pStyle w:val="Standard"/>
        <w:rPr>
          <w:rFonts w:ascii="Arial" w:eastAsia="Times New Roman" w:hAnsi="Arial" w:cs="Arial"/>
          <w:kern w:val="0"/>
          <w:lang w:eastAsia="fr-FR" w:bidi="ar-SA"/>
        </w:rPr>
      </w:pPr>
      <w:r w:rsidRPr="00292A51">
        <w:rPr>
          <w:bCs/>
        </w:rPr>
        <w:t>L’enveloppe prévisionnelle globale</w:t>
      </w:r>
      <w:r w:rsidR="001F7A16">
        <w:rPr>
          <w:bCs/>
        </w:rPr>
        <w:t xml:space="preserve"> restante</w:t>
      </w:r>
      <w:r w:rsidRPr="00292A51">
        <w:rPr>
          <w:bCs/>
        </w:rPr>
        <w:t xml:space="preserve"> est </w:t>
      </w:r>
      <w:r>
        <w:rPr>
          <w:rFonts w:ascii="Arial" w:eastAsia="Times New Roman" w:hAnsi="Arial" w:cs="Arial"/>
          <w:kern w:val="0"/>
          <w:lang w:eastAsia="fr-FR" w:bidi="ar-SA"/>
        </w:rPr>
        <w:t xml:space="preserve">d’environ </w:t>
      </w:r>
      <w:r w:rsidR="001F7A16">
        <w:rPr>
          <w:rFonts w:ascii="Arial" w:eastAsia="Times New Roman" w:hAnsi="Arial" w:cs="Arial"/>
          <w:kern w:val="0"/>
          <w:lang w:eastAsia="fr-FR" w:bidi="ar-SA"/>
        </w:rPr>
        <w:t>575 000</w:t>
      </w:r>
      <w:r>
        <w:rPr>
          <w:rFonts w:ascii="Arial" w:eastAsia="Times New Roman" w:hAnsi="Arial" w:cs="Arial"/>
          <w:kern w:val="0"/>
          <w:lang w:eastAsia="fr-FR" w:bidi="ar-SA"/>
        </w:rPr>
        <w:t xml:space="preserve">€, passant de 860 k€ dans les engagements du </w:t>
      </w:r>
      <w:proofErr w:type="spellStart"/>
      <w:r>
        <w:rPr>
          <w:rFonts w:ascii="Arial" w:eastAsia="Times New Roman" w:hAnsi="Arial" w:cs="Arial"/>
          <w:kern w:val="0"/>
          <w:lang w:eastAsia="fr-FR" w:bidi="ar-SA"/>
        </w:rPr>
        <w:t>Sd’AP</w:t>
      </w:r>
      <w:proofErr w:type="spellEnd"/>
      <w:r>
        <w:rPr>
          <w:rFonts w:ascii="Arial" w:eastAsia="Times New Roman" w:hAnsi="Arial" w:cs="Arial"/>
          <w:kern w:val="0"/>
          <w:lang w:eastAsia="fr-FR" w:bidi="ar-SA"/>
        </w:rPr>
        <w:t xml:space="preserve"> à </w:t>
      </w:r>
      <w:r w:rsidR="001F7A16">
        <w:rPr>
          <w:rFonts w:ascii="Arial" w:eastAsia="Times New Roman" w:hAnsi="Arial" w:cs="Arial"/>
          <w:kern w:val="0"/>
          <w:lang w:eastAsia="fr-FR" w:bidi="ar-SA"/>
        </w:rPr>
        <w:t>934 395</w:t>
      </w:r>
      <w:r w:rsidR="003D62D7">
        <w:rPr>
          <w:rFonts w:ascii="Arial" w:eastAsia="Times New Roman" w:hAnsi="Arial" w:cs="Arial"/>
          <w:kern w:val="0"/>
          <w:lang w:eastAsia="fr-FR" w:bidi="ar-SA"/>
        </w:rPr>
        <w:t>k</w:t>
      </w:r>
      <w:r>
        <w:rPr>
          <w:rFonts w:ascii="Arial" w:eastAsia="Times New Roman" w:hAnsi="Arial" w:cs="Arial"/>
          <w:kern w:val="0"/>
          <w:lang w:eastAsia="fr-FR" w:bidi="ar-SA"/>
        </w:rPr>
        <w:t xml:space="preserve">€ pour les raisons suivantes : </w:t>
      </w:r>
    </w:p>
    <w:p w14:paraId="5493AA0F" w14:textId="3FEFE5B4" w:rsidR="00475EBE" w:rsidRDefault="00475EBE">
      <w:pPr>
        <w:pStyle w:val="Standard"/>
        <w:rPr>
          <w:rFonts w:ascii="Arial" w:eastAsia="Times New Roman" w:hAnsi="Arial" w:cs="Arial"/>
          <w:kern w:val="0"/>
          <w:lang w:eastAsia="fr-FR" w:bidi="ar-SA"/>
        </w:rPr>
      </w:pPr>
    </w:p>
    <w:p w14:paraId="714C0593" w14:textId="0621E810" w:rsidR="00475EBE" w:rsidRDefault="00475EBE" w:rsidP="00475EBE">
      <w:pPr>
        <w:pStyle w:val="Standard"/>
        <w:numPr>
          <w:ilvl w:val="0"/>
          <w:numId w:val="10"/>
        </w:numPr>
        <w:rPr>
          <w:rFonts w:ascii="Arial" w:eastAsia="Times New Roman" w:hAnsi="Arial" w:cs="Arial"/>
          <w:kern w:val="0"/>
          <w:lang w:eastAsia="fr-FR" w:bidi="ar-SA"/>
        </w:rPr>
      </w:pPr>
      <w:r>
        <w:rPr>
          <w:rFonts w:ascii="Arial" w:eastAsia="Times New Roman" w:hAnsi="Arial" w:cs="Arial"/>
          <w:kern w:val="0"/>
          <w:lang w:eastAsia="fr-FR" w:bidi="ar-SA"/>
        </w:rPr>
        <w:t>Les coûts indiqués dans le Sd’AP régional ont été estimés « à dire d’expert » (ratios basés sur des opérations similaires) lorsque les études ne sont pas venues les préciser. Ils étaient donc donnés à titre indicatif et susceptibles d’évoluer au cours de la mise en œuvre du Sd’AP</w:t>
      </w:r>
      <w:r w:rsidR="00815856">
        <w:rPr>
          <w:rFonts w:ascii="Arial" w:eastAsia="Times New Roman" w:hAnsi="Arial" w:cs="Arial"/>
          <w:kern w:val="0"/>
          <w:lang w:eastAsia="fr-FR" w:bidi="ar-SA"/>
        </w:rPr>
        <w:t xml:space="preserve">. </w:t>
      </w:r>
    </w:p>
    <w:p w14:paraId="1E5DC0C6" w14:textId="236C3C9D" w:rsidR="00475EBE" w:rsidRDefault="00815856" w:rsidP="003D62D7">
      <w:pPr>
        <w:pStyle w:val="Standard"/>
        <w:numPr>
          <w:ilvl w:val="0"/>
          <w:numId w:val="10"/>
        </w:numPr>
        <w:rPr>
          <w:rFonts w:ascii="Arial" w:eastAsia="Times New Roman" w:hAnsi="Arial" w:cs="Arial"/>
          <w:kern w:val="0"/>
          <w:lang w:eastAsia="fr-FR" w:bidi="ar-SA"/>
        </w:rPr>
      </w:pPr>
      <w:r>
        <w:rPr>
          <w:rFonts w:ascii="Arial" w:eastAsia="Times New Roman" w:hAnsi="Arial" w:cs="Arial"/>
          <w:kern w:val="0"/>
          <w:lang w:eastAsia="fr-FR" w:bidi="ar-SA"/>
        </w:rPr>
        <w:t xml:space="preserve">En fonction de la nature des travaux, de la configuration des gares et des services offerts, des options ont été retenus dans les dossiers d’initialisation. Pour la gare d’Illiers-Combray, l’option « traitement acoustique » a été retenue. Concernant la gare de Saint-Aignan, les options « revêtement de sol » et « installation d’un guichet provisoire » ont été retenues compte-tenu du volume important du chiffre d’affaire de vente et de la fréquentation notamment touristique de la gare. </w:t>
      </w:r>
    </w:p>
    <w:p w14:paraId="5531CA5B" w14:textId="77777777" w:rsidR="00292A51" w:rsidRPr="004A0E24" w:rsidRDefault="00292A51">
      <w:pPr>
        <w:pStyle w:val="Standard"/>
        <w:rPr>
          <w:rFonts w:hint="eastAsia"/>
          <w:b/>
          <w:bCs/>
        </w:rPr>
      </w:pPr>
    </w:p>
    <w:p w14:paraId="771E3502" w14:textId="77777777" w:rsidR="008755BB" w:rsidRDefault="003118CC" w:rsidP="000060BA">
      <w:pPr>
        <w:pStyle w:val="Standard"/>
        <w:jc w:val="both"/>
        <w:rPr>
          <w:rFonts w:hint="eastAsia"/>
          <w:bCs/>
        </w:rPr>
      </w:pPr>
      <w:r w:rsidRPr="0072763E">
        <w:rPr>
          <w:b/>
          <w:bCs/>
          <w:u w:val="single"/>
        </w:rPr>
        <w:t>Volet routier</w:t>
      </w:r>
      <w:r w:rsidRPr="004A0E24">
        <w:rPr>
          <w:bCs/>
        </w:rPr>
        <w:t xml:space="preserve"> : </w:t>
      </w:r>
    </w:p>
    <w:p w14:paraId="31646F37" w14:textId="77777777" w:rsidR="00292A51" w:rsidRDefault="00292A51" w:rsidP="000060BA">
      <w:pPr>
        <w:pStyle w:val="Standard"/>
        <w:jc w:val="both"/>
        <w:rPr>
          <w:rFonts w:hint="eastAsia"/>
          <w:bCs/>
        </w:rPr>
      </w:pPr>
    </w:p>
    <w:p w14:paraId="692A0A15" w14:textId="4815D08B" w:rsidR="003118CC" w:rsidRDefault="008755BB" w:rsidP="000060BA">
      <w:pPr>
        <w:pStyle w:val="Standard"/>
        <w:jc w:val="both"/>
        <w:rPr>
          <w:rFonts w:hint="eastAsia"/>
          <w:bCs/>
        </w:rPr>
      </w:pPr>
      <w:r>
        <w:rPr>
          <w:bCs/>
        </w:rPr>
        <w:t>E</w:t>
      </w:r>
      <w:r w:rsidRPr="004A0E24">
        <w:rPr>
          <w:bCs/>
        </w:rPr>
        <w:t xml:space="preserve">n </w:t>
      </w:r>
      <w:r w:rsidR="00C206D9" w:rsidRPr="004A0E24">
        <w:rPr>
          <w:bCs/>
        </w:rPr>
        <w:t>fonction des départements, les points d’arrêt routiers n’ont pas tous été diagnostiqués. Certains Sd’AP font apparaître des coûts d’aménagements prévisionnels associés à un descriptif d’</w:t>
      </w:r>
      <w:r w:rsidR="004A0E24" w:rsidRPr="004A0E24">
        <w:rPr>
          <w:bCs/>
        </w:rPr>
        <w:t>a</w:t>
      </w:r>
      <w:r w:rsidR="00C206D9" w:rsidRPr="004A0E24">
        <w:rPr>
          <w:bCs/>
        </w:rPr>
        <w:t>ménagement nécessaire pour rendre accessible le point d’arrêt routier.</w:t>
      </w:r>
      <w:r w:rsidR="004A0E24" w:rsidRPr="004A0E24">
        <w:rPr>
          <w:bCs/>
        </w:rPr>
        <w:t xml:space="preserve"> Pour les autres points d’arrêt routiers non audités à ce jour, il semble difficile de pouvoir indiqu</w:t>
      </w:r>
      <w:r w:rsidR="00730B06">
        <w:rPr>
          <w:bCs/>
        </w:rPr>
        <w:t>er</w:t>
      </w:r>
      <w:r w:rsidR="004A0E24" w:rsidRPr="004A0E24">
        <w:rPr>
          <w:bCs/>
        </w:rPr>
        <w:t xml:space="preserve"> un coût d’aménagement précis. Si on se réfère au CEREMA</w:t>
      </w:r>
      <w:r w:rsidR="00730B06">
        <w:rPr>
          <w:bCs/>
        </w:rPr>
        <w:t xml:space="preserve">, </w:t>
      </w:r>
      <w:r w:rsidR="004A0E24" w:rsidRPr="004A0E24">
        <w:rPr>
          <w:bCs/>
        </w:rPr>
        <w:t xml:space="preserve">qui a estimé en moyenne le coût d’aménagement d’un point d’arrêt à 15 000€ HT, </w:t>
      </w:r>
      <w:r w:rsidR="004A0E24" w:rsidRPr="00B97D10">
        <w:rPr>
          <w:bCs/>
        </w:rPr>
        <w:t xml:space="preserve">en Région Centre-Val de Loire </w:t>
      </w:r>
      <w:r w:rsidR="00B97D10" w:rsidRPr="00B97D10">
        <w:rPr>
          <w:bCs/>
        </w:rPr>
        <w:t xml:space="preserve">plus de 500 </w:t>
      </w:r>
      <w:r w:rsidR="004A0E24" w:rsidRPr="00B97D10">
        <w:rPr>
          <w:bCs/>
        </w:rPr>
        <w:t>points d’arrêts sont à aménager, ce qui représente un coût prévisionnel d</w:t>
      </w:r>
      <w:r w:rsidR="00B97D10" w:rsidRPr="00B97D10">
        <w:rPr>
          <w:bCs/>
        </w:rPr>
        <w:t>’environ 8M</w:t>
      </w:r>
      <w:r w:rsidR="004A0E24" w:rsidRPr="00B97D10">
        <w:rPr>
          <w:bCs/>
        </w:rPr>
        <w:t>€</w:t>
      </w:r>
      <w:r w:rsidR="00292A51">
        <w:rPr>
          <w:bCs/>
        </w:rPr>
        <w:t xml:space="preserve">, alors qu’il était </w:t>
      </w:r>
      <w:r w:rsidR="00815856">
        <w:rPr>
          <w:bCs/>
        </w:rPr>
        <w:t>estimé</w:t>
      </w:r>
      <w:r w:rsidR="00292A51">
        <w:rPr>
          <w:bCs/>
        </w:rPr>
        <w:t xml:space="preserve"> </w:t>
      </w:r>
      <w:r w:rsidR="00DF511B">
        <w:rPr>
          <w:bCs/>
        </w:rPr>
        <w:t xml:space="preserve">dans les engagements des </w:t>
      </w:r>
      <w:proofErr w:type="spellStart"/>
      <w:r w:rsidR="00DF511B">
        <w:rPr>
          <w:bCs/>
        </w:rPr>
        <w:t>Sd’AP</w:t>
      </w:r>
      <w:proofErr w:type="spellEnd"/>
      <w:r w:rsidR="00DF511B">
        <w:rPr>
          <w:bCs/>
        </w:rPr>
        <w:t xml:space="preserve"> à environ</w:t>
      </w:r>
      <w:r w:rsidR="005F4319">
        <w:rPr>
          <w:bCs/>
        </w:rPr>
        <w:t xml:space="preserve"> 6,7M€</w:t>
      </w:r>
      <w:r w:rsidR="00155A26">
        <w:rPr>
          <w:bCs/>
        </w:rPr>
        <w:t>.</w:t>
      </w:r>
    </w:p>
    <w:p w14:paraId="79A12BF1" w14:textId="371FA90C" w:rsidR="000D6312" w:rsidRDefault="000D6312" w:rsidP="000060BA">
      <w:pPr>
        <w:pStyle w:val="Standard"/>
        <w:jc w:val="both"/>
        <w:rPr>
          <w:rFonts w:hint="eastAsia"/>
          <w:bCs/>
        </w:rPr>
      </w:pPr>
    </w:p>
    <w:p w14:paraId="2203FAC8" w14:textId="448E675B" w:rsidR="00D510EC" w:rsidRDefault="00D510EC">
      <w:pPr>
        <w:pStyle w:val="Standard"/>
        <w:rPr>
          <w:rFonts w:hint="eastAsia"/>
          <w:b/>
          <w:bCs/>
        </w:rPr>
      </w:pPr>
    </w:p>
    <w:p w14:paraId="261FE846" w14:textId="5DC5FFFB" w:rsidR="00D510EC" w:rsidRDefault="00D510EC" w:rsidP="007C2ED4">
      <w:pPr>
        <w:pStyle w:val="Standard"/>
        <w:jc w:val="both"/>
        <w:rPr>
          <w:rFonts w:hint="eastAsia"/>
          <w:b/>
          <w:bCs/>
        </w:rPr>
      </w:pPr>
      <w:r>
        <w:rPr>
          <w:b/>
          <w:bCs/>
        </w:rPr>
        <w:t xml:space="preserve">7 – Le cas échéant, l’actualisation de la programmation restant à venir des actions de mise en accessibilité des points d’arrêt faisant apparaître les écarts avec la programmation initiale </w:t>
      </w:r>
    </w:p>
    <w:p w14:paraId="306EC906" w14:textId="33A47BED" w:rsidR="007C2ED4" w:rsidRDefault="007C2ED4" w:rsidP="007C2ED4">
      <w:pPr>
        <w:pStyle w:val="Standard"/>
        <w:jc w:val="both"/>
        <w:rPr>
          <w:rFonts w:hint="eastAsia"/>
          <w:b/>
          <w:bCs/>
        </w:rPr>
      </w:pPr>
      <w:bookmarkStart w:id="0" w:name="_GoBack"/>
      <w:bookmarkEnd w:id="0"/>
    </w:p>
    <w:p w14:paraId="68B38121" w14:textId="77777777" w:rsidR="00206CA4" w:rsidRPr="0072763E" w:rsidRDefault="007C2ED4" w:rsidP="007C2ED4">
      <w:pPr>
        <w:pStyle w:val="Standard"/>
        <w:jc w:val="both"/>
        <w:rPr>
          <w:rFonts w:hint="eastAsia"/>
          <w:b/>
          <w:bCs/>
          <w:u w:val="single"/>
        </w:rPr>
      </w:pPr>
      <w:r w:rsidRPr="0072763E">
        <w:rPr>
          <w:b/>
          <w:bCs/>
          <w:u w:val="single"/>
        </w:rPr>
        <w:t>Volet ferroviaire</w:t>
      </w:r>
      <w:r w:rsidRPr="0072763E">
        <w:rPr>
          <w:b/>
          <w:bCs/>
        </w:rPr>
        <w:t> </w:t>
      </w:r>
    </w:p>
    <w:p w14:paraId="10656E02" w14:textId="77777777" w:rsidR="00206CA4" w:rsidRDefault="00206CA4" w:rsidP="007C2ED4">
      <w:pPr>
        <w:pStyle w:val="Standard"/>
        <w:jc w:val="both"/>
        <w:rPr>
          <w:rFonts w:hint="eastAsia"/>
          <w:bCs/>
          <w:highlight w:val="green"/>
        </w:rPr>
      </w:pPr>
    </w:p>
    <w:p w14:paraId="0CC07651" w14:textId="4B156012" w:rsidR="00206CA4" w:rsidRDefault="00206CA4" w:rsidP="007C2ED4">
      <w:pPr>
        <w:pStyle w:val="Standard"/>
        <w:jc w:val="both"/>
        <w:rPr>
          <w:rFonts w:hint="eastAsia"/>
          <w:bCs/>
        </w:rPr>
      </w:pPr>
      <w:r w:rsidRPr="00206CA4">
        <w:rPr>
          <w:bCs/>
        </w:rPr>
        <w:t xml:space="preserve">Sur le </w:t>
      </w:r>
      <w:r w:rsidR="007C2ED4" w:rsidRPr="00206CA4">
        <w:rPr>
          <w:bCs/>
        </w:rPr>
        <w:t>périmètre SNCF Réseau</w:t>
      </w:r>
      <w:r w:rsidRPr="00206CA4">
        <w:rPr>
          <w:bCs/>
        </w:rPr>
        <w:t> : se référer à l’</w:t>
      </w:r>
      <w:r w:rsidR="0024767D" w:rsidRPr="00206CA4">
        <w:rPr>
          <w:bCs/>
        </w:rPr>
        <w:t>annexe 4</w:t>
      </w:r>
    </w:p>
    <w:p w14:paraId="49A67AE5" w14:textId="77777777" w:rsidR="008D3B3C" w:rsidRPr="00206CA4" w:rsidRDefault="008D3B3C" w:rsidP="007C2ED4">
      <w:pPr>
        <w:pStyle w:val="Standard"/>
        <w:jc w:val="both"/>
        <w:rPr>
          <w:rFonts w:hint="eastAsia"/>
          <w:bCs/>
        </w:rPr>
      </w:pPr>
    </w:p>
    <w:p w14:paraId="49645A5F" w14:textId="77777777" w:rsidR="00206CA4" w:rsidRDefault="00206CA4" w:rsidP="007C2ED4">
      <w:pPr>
        <w:pStyle w:val="Standard"/>
        <w:jc w:val="both"/>
        <w:rPr>
          <w:rFonts w:hint="eastAsia"/>
          <w:bCs/>
          <w:highlight w:val="green"/>
        </w:rPr>
      </w:pPr>
    </w:p>
    <w:p w14:paraId="4832F75B" w14:textId="4E961DA3" w:rsidR="007C2ED4" w:rsidRPr="008D3B3C" w:rsidRDefault="00206CA4" w:rsidP="007C2ED4">
      <w:pPr>
        <w:pStyle w:val="Standard"/>
        <w:jc w:val="both"/>
        <w:rPr>
          <w:rFonts w:hint="eastAsia"/>
          <w:bCs/>
        </w:rPr>
      </w:pPr>
      <w:r w:rsidRPr="008D3B3C">
        <w:rPr>
          <w:bCs/>
        </w:rPr>
        <w:t xml:space="preserve">Sur le </w:t>
      </w:r>
      <w:r w:rsidR="007C2ED4" w:rsidRPr="008D3B3C">
        <w:rPr>
          <w:bCs/>
        </w:rPr>
        <w:t xml:space="preserve">périmètre SNCF </w:t>
      </w:r>
      <w:r w:rsidR="0072763E">
        <w:rPr>
          <w:bCs/>
        </w:rPr>
        <w:t>Gares et Connexion</w:t>
      </w:r>
      <w:r w:rsidRPr="008D3B3C">
        <w:rPr>
          <w:bCs/>
        </w:rPr>
        <w:t> </w:t>
      </w:r>
    </w:p>
    <w:p w14:paraId="6547F252" w14:textId="77777777" w:rsidR="0072763E" w:rsidRDefault="0072763E" w:rsidP="008D3B3C">
      <w:pPr>
        <w:widowControl/>
        <w:suppressAutoHyphens w:val="0"/>
        <w:autoSpaceDN/>
        <w:jc w:val="both"/>
        <w:textAlignment w:val="auto"/>
        <w:rPr>
          <w:rFonts w:hint="eastAsia"/>
          <w:bCs/>
        </w:rPr>
      </w:pPr>
    </w:p>
    <w:p w14:paraId="542C8EAF" w14:textId="4DAA7128" w:rsidR="00566A56" w:rsidRDefault="00566A56"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p>
    <w:p w14:paraId="4479C69E" w14:textId="0EC56668" w:rsidR="001C13E6" w:rsidRDefault="001C13E6"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p>
    <w:p w14:paraId="45F65070" w14:textId="1578BC6C" w:rsidR="001C13E6" w:rsidRDefault="001C13E6"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p>
    <w:p w14:paraId="53E125A5" w14:textId="59589DD9" w:rsidR="001C13E6" w:rsidRDefault="00F256AF"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r>
        <w:rPr>
          <w:rFonts w:ascii="Calibri" w:eastAsia="Times New Roman" w:hAnsi="Calibri" w:cs="Calibri"/>
          <w:noProof/>
          <w:color w:val="000000"/>
          <w:kern w:val="0"/>
          <w:sz w:val="18"/>
          <w:szCs w:val="18"/>
          <w:lang w:eastAsia="fr-FR" w:bidi="ar-SA"/>
        </w:rPr>
        <w:lastRenderedPageBreak/>
        <w:drawing>
          <wp:inline distT="0" distB="0" distL="0" distR="0" wp14:anchorId="37AC6340" wp14:editId="5378B9D3">
            <wp:extent cx="6438900" cy="3629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accessibilité.png"/>
                    <pic:cNvPicPr/>
                  </pic:nvPicPr>
                  <pic:blipFill>
                    <a:blip r:embed="rId9">
                      <a:extLst>
                        <a:ext uri="{28A0092B-C50C-407E-A947-70E740481C1C}">
                          <a14:useLocalDpi xmlns:a14="http://schemas.microsoft.com/office/drawing/2010/main" val="0"/>
                        </a:ext>
                      </a:extLst>
                    </a:blip>
                    <a:stretch>
                      <a:fillRect/>
                    </a:stretch>
                  </pic:blipFill>
                  <pic:spPr>
                    <a:xfrm>
                      <a:off x="0" y="0"/>
                      <a:ext cx="6438900" cy="3629025"/>
                    </a:xfrm>
                    <a:prstGeom prst="rect">
                      <a:avLst/>
                    </a:prstGeom>
                  </pic:spPr>
                </pic:pic>
              </a:graphicData>
            </a:graphic>
          </wp:inline>
        </w:drawing>
      </w:r>
    </w:p>
    <w:p w14:paraId="39A08B01" w14:textId="5F016C9E" w:rsidR="001C13E6" w:rsidRDefault="001C13E6"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p>
    <w:p w14:paraId="54B0DFA2" w14:textId="77777777" w:rsidR="001C13E6" w:rsidRPr="008D3B3C" w:rsidRDefault="001C13E6" w:rsidP="008D3B3C">
      <w:pPr>
        <w:widowControl/>
        <w:suppressAutoHyphens w:val="0"/>
        <w:autoSpaceDN/>
        <w:jc w:val="both"/>
        <w:textAlignment w:val="auto"/>
        <w:rPr>
          <w:rFonts w:ascii="Calibri" w:eastAsia="Times New Roman" w:hAnsi="Calibri" w:cs="Calibri"/>
          <w:color w:val="000000"/>
          <w:kern w:val="0"/>
          <w:sz w:val="18"/>
          <w:szCs w:val="18"/>
          <w:lang w:eastAsia="fr-FR" w:bidi="ar-SA"/>
        </w:rPr>
      </w:pPr>
    </w:p>
    <w:p w14:paraId="4D54824D" w14:textId="3E908B1A" w:rsidR="007C2ED4" w:rsidRPr="00042F26" w:rsidRDefault="007C2ED4" w:rsidP="007C2ED4">
      <w:pPr>
        <w:pStyle w:val="Standard"/>
        <w:jc w:val="both"/>
        <w:rPr>
          <w:rFonts w:hint="eastAsia"/>
          <w:bCs/>
        </w:rPr>
      </w:pPr>
    </w:p>
    <w:p w14:paraId="6C48447F" w14:textId="061608FB" w:rsidR="007E7A19" w:rsidRDefault="007C2ED4" w:rsidP="0002674B">
      <w:pPr>
        <w:pStyle w:val="Standard"/>
        <w:jc w:val="both"/>
        <w:rPr>
          <w:rFonts w:hint="eastAsia"/>
        </w:rPr>
      </w:pPr>
      <w:r w:rsidRPr="0072763E">
        <w:rPr>
          <w:b/>
          <w:bCs/>
          <w:u w:val="single"/>
        </w:rPr>
        <w:t>Volet routier</w:t>
      </w:r>
      <w:r w:rsidRPr="00042F26">
        <w:rPr>
          <w:bCs/>
        </w:rPr>
        <w:t xml:space="preserve"> : </w:t>
      </w:r>
      <w:r w:rsidR="0002674B">
        <w:rPr>
          <w:bCs/>
        </w:rPr>
        <w:t xml:space="preserve">A ce jour, des discussions sont engagées concernant la répartition des compétences entre gestionnaires de voirie et autorité organisatrice de transport comme expliqué ci-dessous. De ce fait, la programmation de la mise en accessibilité des points d’arrêt routiers </w:t>
      </w:r>
      <w:r w:rsidR="00DF511B">
        <w:rPr>
          <w:bCs/>
        </w:rPr>
        <w:t xml:space="preserve">pourra prochainement être actualisée à l’issue de ces échanges. </w:t>
      </w:r>
      <w:r w:rsidR="0002674B">
        <w:rPr>
          <w:bCs/>
        </w:rPr>
        <w:t xml:space="preserve">  </w:t>
      </w:r>
    </w:p>
    <w:p w14:paraId="3F7E5323" w14:textId="77777777" w:rsidR="007E7A19" w:rsidRPr="00042F26" w:rsidRDefault="007E7A19" w:rsidP="007C2ED4">
      <w:pPr>
        <w:pStyle w:val="Standard"/>
        <w:jc w:val="both"/>
        <w:rPr>
          <w:rFonts w:hint="eastAsia"/>
          <w:bCs/>
        </w:rPr>
      </w:pPr>
    </w:p>
    <w:p w14:paraId="5B07B047" w14:textId="7E6FC1FA" w:rsidR="00F80346" w:rsidRDefault="00F80346">
      <w:pPr>
        <w:pStyle w:val="Standard"/>
        <w:rPr>
          <w:rFonts w:hint="eastAsia"/>
        </w:rPr>
      </w:pPr>
    </w:p>
    <w:p w14:paraId="31891A4A" w14:textId="7F6AC8F8" w:rsidR="00D510EC" w:rsidRPr="00520CF5" w:rsidRDefault="00D510EC">
      <w:pPr>
        <w:pStyle w:val="Standard"/>
        <w:rPr>
          <w:rFonts w:hint="eastAsia"/>
          <w:b/>
        </w:rPr>
      </w:pPr>
      <w:r w:rsidRPr="00520CF5">
        <w:rPr>
          <w:b/>
        </w:rPr>
        <w:t xml:space="preserve">8 </w:t>
      </w:r>
      <w:r w:rsidR="00520CF5" w:rsidRPr="00520CF5">
        <w:rPr>
          <w:b/>
        </w:rPr>
        <w:t>–</w:t>
      </w:r>
      <w:r w:rsidRPr="00520CF5">
        <w:rPr>
          <w:b/>
        </w:rPr>
        <w:t xml:space="preserve"> </w:t>
      </w:r>
      <w:r w:rsidR="00520CF5" w:rsidRPr="00520CF5">
        <w:rPr>
          <w:b/>
        </w:rPr>
        <w:t xml:space="preserve">Conditions de mise en œuvre des Sd’AP </w:t>
      </w:r>
    </w:p>
    <w:p w14:paraId="44F09D40" w14:textId="0FE851D3" w:rsidR="00F33075" w:rsidRDefault="00F33075">
      <w:pPr>
        <w:pStyle w:val="Standard"/>
        <w:rPr>
          <w:rFonts w:hint="eastAsia"/>
        </w:rPr>
      </w:pPr>
    </w:p>
    <w:p w14:paraId="736C41B6" w14:textId="554C41F1" w:rsidR="00F33075" w:rsidRDefault="00F33075" w:rsidP="00F33075">
      <w:pPr>
        <w:pStyle w:val="Standard"/>
        <w:jc w:val="both"/>
        <w:rPr>
          <w:rFonts w:hint="eastAsia"/>
        </w:rPr>
      </w:pPr>
      <w:r>
        <w:t xml:space="preserve">Suite au transfert de compétence, la Région a décidé de ne pas fusionner </w:t>
      </w:r>
      <w:r w:rsidR="00E47BF2">
        <w:t>le</w:t>
      </w:r>
      <w:r>
        <w:t xml:space="preserve"> Sd’AP régional et les Sd’AP départementaux. La Région organise des réunions thématiques pour échanger avec les associations afin de parvenir à une cohérence régionale. </w:t>
      </w:r>
    </w:p>
    <w:p w14:paraId="59B52A97" w14:textId="60869307" w:rsidR="00F33075" w:rsidRDefault="00F33075" w:rsidP="00F33075">
      <w:pPr>
        <w:pStyle w:val="Standard"/>
        <w:jc w:val="both"/>
        <w:rPr>
          <w:rFonts w:hint="eastAsia"/>
        </w:rPr>
      </w:pPr>
    </w:p>
    <w:p w14:paraId="6A74E15D" w14:textId="2A180C86" w:rsidR="001E52F7" w:rsidRDefault="00F33075" w:rsidP="001E52F7">
      <w:pPr>
        <w:pStyle w:val="Standard"/>
        <w:jc w:val="both"/>
        <w:rPr>
          <w:rFonts w:hint="eastAsia"/>
        </w:rPr>
      </w:pPr>
      <w:r>
        <w:t>Depuis l’adoption du Sd’AP régional, une gouvernance dédiée aux points d’arrê</w:t>
      </w:r>
      <w:r w:rsidR="00DE0C77">
        <w:t>t ferroviaire</w:t>
      </w:r>
      <w:r w:rsidR="00650208">
        <w:t>s</w:t>
      </w:r>
      <w:r w:rsidR="00DE0C77">
        <w:t xml:space="preserve"> est mise en place. En </w:t>
      </w:r>
      <w:r w:rsidR="0008063B">
        <w:t xml:space="preserve">tant qu’AOT </w:t>
      </w:r>
      <w:r w:rsidR="001E52F7">
        <w:t>chef de file</w:t>
      </w:r>
      <w:r w:rsidR="0008063B">
        <w:t>,</w:t>
      </w:r>
      <w:r w:rsidR="001E52F7">
        <w:t xml:space="preserve"> la Région organise chaque année deux comités techniques et au minimum un comité de pilotage. La Région </w:t>
      </w:r>
      <w:r w:rsidR="0008063B">
        <w:t>invite</w:t>
      </w:r>
      <w:r w:rsidR="001E52F7">
        <w:t xml:space="preserve"> </w:t>
      </w:r>
      <w:r w:rsidR="0008063B">
        <w:t xml:space="preserve">les différentes parties prenantes notamment </w:t>
      </w:r>
      <w:r w:rsidR="001E52F7">
        <w:t xml:space="preserve">les représentants </w:t>
      </w:r>
      <w:r w:rsidR="0008063B">
        <w:t xml:space="preserve">de SNCF Réseau, SNCF Mobilités, </w:t>
      </w:r>
      <w:r w:rsidR="001E52F7">
        <w:t>SNCF Gares &amp; Connexions</w:t>
      </w:r>
      <w:r w:rsidR="0008063B">
        <w:t xml:space="preserve"> et de l’Etat</w:t>
      </w:r>
      <w:r w:rsidR="001E52F7">
        <w:t xml:space="preserve"> pour échanger sur l’avancement </w:t>
      </w:r>
      <w:r w:rsidR="0008063B">
        <w:t>de la mise en accessibilité des points d’arrêt ferroviaires</w:t>
      </w:r>
      <w:r w:rsidR="001E52F7">
        <w:t xml:space="preserve">. </w:t>
      </w:r>
    </w:p>
    <w:p w14:paraId="42AFB533" w14:textId="11FCDE6C" w:rsidR="00F33075" w:rsidRDefault="00F33075" w:rsidP="001E52F7">
      <w:pPr>
        <w:pStyle w:val="Standard"/>
        <w:jc w:val="both"/>
        <w:rPr>
          <w:rFonts w:hint="eastAsia"/>
        </w:rPr>
      </w:pPr>
    </w:p>
    <w:p w14:paraId="2CED924D" w14:textId="20B7A5D5" w:rsidR="00F33075" w:rsidRDefault="00086162" w:rsidP="001E52F7">
      <w:pPr>
        <w:pStyle w:val="Standard"/>
        <w:jc w:val="both"/>
        <w:rPr>
          <w:rFonts w:hint="eastAsia"/>
        </w:rPr>
      </w:pPr>
      <w:proofErr w:type="gramStart"/>
      <w:r>
        <w:t>Suite au</w:t>
      </w:r>
      <w:proofErr w:type="gramEnd"/>
      <w:r>
        <w:t xml:space="preserve"> transfert des compétences de transport routier et scolaire par la loi NOTRé, </w:t>
      </w:r>
      <w:r w:rsidR="008755BB">
        <w:t xml:space="preserve">il est apparu que </w:t>
      </w:r>
      <w:r>
        <w:t>la répartition des compétences entre le gestionnaire de voirie et l’Autorité organisatrice des transports (AOT)</w:t>
      </w:r>
      <w:r w:rsidR="008755BB">
        <w:t xml:space="preserve"> est peu claire, ce qui posait moins de problème aux Départements, qui avaient les deux compétences</w:t>
      </w:r>
      <w:r>
        <w:t xml:space="preserve">. En effet, le cadre juridique ne précise pas qui, du gestionnaire de voirie ou de l’AOT est responsable de la mise en accessibilité d’un </w:t>
      </w:r>
      <w:r w:rsidR="000D6312">
        <w:t>point d’arrêt</w:t>
      </w:r>
      <w:r>
        <w:t xml:space="preserve">. </w:t>
      </w:r>
    </w:p>
    <w:p w14:paraId="6E010DD6" w14:textId="257CCE14" w:rsidR="00086162" w:rsidRDefault="00086162" w:rsidP="001E52F7">
      <w:pPr>
        <w:pStyle w:val="Standard"/>
        <w:jc w:val="both"/>
        <w:rPr>
          <w:rFonts w:hint="eastAsia"/>
        </w:rPr>
      </w:pPr>
    </w:p>
    <w:p w14:paraId="3FFA9D6C" w14:textId="769B8769" w:rsidR="00086162" w:rsidRDefault="00086162" w:rsidP="001E52F7">
      <w:pPr>
        <w:pStyle w:val="Standard"/>
        <w:jc w:val="both"/>
        <w:rPr>
          <w:rFonts w:hint="eastAsia"/>
        </w:rPr>
      </w:pPr>
      <w:r>
        <w:t xml:space="preserve">A </w:t>
      </w:r>
      <w:r w:rsidR="007F7D76">
        <w:t xml:space="preserve">l’initiative de la Région, </w:t>
      </w:r>
      <w:r w:rsidR="005F33B9">
        <w:t xml:space="preserve">des </w:t>
      </w:r>
      <w:r w:rsidR="007F7D76">
        <w:t>échange</w:t>
      </w:r>
      <w:r w:rsidR="005F33B9">
        <w:t xml:space="preserve">s ont </w:t>
      </w:r>
      <w:proofErr w:type="spellStart"/>
      <w:r w:rsidR="005F33B9">
        <w:t>leu</w:t>
      </w:r>
      <w:proofErr w:type="spellEnd"/>
      <w:r w:rsidR="005F33B9">
        <w:t xml:space="preserve"> lieu avec les Départements pour clarifier la répartition des rôles</w:t>
      </w:r>
      <w:r w:rsidR="007F7D76">
        <w:t xml:space="preserve"> sur la sécurisation et </w:t>
      </w:r>
      <w:r w:rsidR="005F33B9">
        <w:t>d</w:t>
      </w:r>
      <w:r w:rsidR="007F7D76">
        <w:t>’aménagement des points d’arrêt routiers</w:t>
      </w:r>
      <w:r w:rsidR="005F33B9">
        <w:t>. Ces échanges n’ont pour l’instant pas permis d’aboutir.</w:t>
      </w:r>
    </w:p>
    <w:p w14:paraId="4DFEB2AF" w14:textId="43BAEDE0" w:rsidR="00F3230F" w:rsidRDefault="00F3230F">
      <w:pPr>
        <w:pStyle w:val="Standard"/>
        <w:rPr>
          <w:rFonts w:hint="eastAsia"/>
        </w:rPr>
      </w:pPr>
    </w:p>
    <w:p w14:paraId="75448C01" w14:textId="1A63AE19" w:rsidR="007F7D76" w:rsidRDefault="007F7D76" w:rsidP="007F7D76">
      <w:pPr>
        <w:pStyle w:val="Standard"/>
        <w:jc w:val="both"/>
        <w:rPr>
          <w:rFonts w:hint="eastAsia"/>
        </w:rPr>
      </w:pPr>
      <w:r>
        <w:t xml:space="preserve">Pour clarifier cette situation et poursuivre la mise en accessibilité des points d’arrêt routiers, la Région a </w:t>
      </w:r>
      <w:r w:rsidR="005F33B9">
        <w:t>saisi</w:t>
      </w:r>
      <w:r>
        <w:t xml:space="preserve"> la Direction </w:t>
      </w:r>
      <w:r w:rsidR="00004A15">
        <w:t xml:space="preserve">générale des collectivités locales (DGCL) pour lui demander d’éclaircir les textes existants </w:t>
      </w:r>
      <w:r w:rsidR="005F33B9">
        <w:t>et les responsabilités de chacun</w:t>
      </w:r>
      <w:r w:rsidR="00004A15">
        <w:t xml:space="preserve"> </w:t>
      </w:r>
      <w:r w:rsidR="00004A15" w:rsidRPr="00004A15">
        <w:rPr>
          <w:highlight w:val="green"/>
        </w:rPr>
        <w:t xml:space="preserve">(annexe </w:t>
      </w:r>
      <w:r w:rsidR="0002378C">
        <w:rPr>
          <w:highlight w:val="green"/>
        </w:rPr>
        <w:t>5</w:t>
      </w:r>
      <w:r w:rsidR="00004A15" w:rsidRPr="00004A15">
        <w:rPr>
          <w:highlight w:val="green"/>
        </w:rPr>
        <w:t>).</w:t>
      </w:r>
      <w:r w:rsidR="00004A15">
        <w:t xml:space="preserve"> </w:t>
      </w:r>
    </w:p>
    <w:p w14:paraId="3C3B1B55" w14:textId="688F1EF6" w:rsidR="00004A15" w:rsidRDefault="00004A15" w:rsidP="007F7D76">
      <w:pPr>
        <w:pStyle w:val="Standard"/>
        <w:jc w:val="both"/>
        <w:rPr>
          <w:rFonts w:hint="eastAsia"/>
        </w:rPr>
      </w:pPr>
    </w:p>
    <w:p w14:paraId="58DF6EBE" w14:textId="47A6B750" w:rsidR="005F33B9" w:rsidRDefault="00004A15" w:rsidP="007F7D76">
      <w:pPr>
        <w:pStyle w:val="Standard"/>
        <w:jc w:val="both"/>
        <w:rPr>
          <w:rFonts w:hint="eastAsia"/>
        </w:rPr>
      </w:pPr>
      <w:r>
        <w:t xml:space="preserve">Par ailleurs, cette problématique </w:t>
      </w:r>
      <w:r w:rsidR="005F33B9">
        <w:t>fait l’objet d’échanges au sein de</w:t>
      </w:r>
      <w:r>
        <w:t xml:space="preserve"> Régions de France. Un courrier portant sur les difficultés rencontrées dans la mise en œuvre des Sd’AP routiers a été envoyé par Régions de France à la ministre des Transports </w:t>
      </w:r>
      <w:r w:rsidRPr="00004A15">
        <w:rPr>
          <w:highlight w:val="green"/>
        </w:rPr>
        <w:t xml:space="preserve">(annexe </w:t>
      </w:r>
      <w:r w:rsidR="0002378C">
        <w:rPr>
          <w:highlight w:val="green"/>
        </w:rPr>
        <w:t>6</w:t>
      </w:r>
      <w:r w:rsidRPr="00004A15">
        <w:rPr>
          <w:highlight w:val="green"/>
        </w:rPr>
        <w:t>)</w:t>
      </w:r>
      <w:r>
        <w:t xml:space="preserve">. </w:t>
      </w:r>
    </w:p>
    <w:p w14:paraId="6C83CF7A" w14:textId="77777777" w:rsidR="005F33B9" w:rsidRDefault="005F33B9" w:rsidP="007F7D76">
      <w:pPr>
        <w:pStyle w:val="Standard"/>
        <w:jc w:val="both"/>
        <w:rPr>
          <w:rFonts w:hint="eastAsia"/>
        </w:rPr>
      </w:pPr>
    </w:p>
    <w:p w14:paraId="55A3B316" w14:textId="0D4A298F" w:rsidR="00004A15" w:rsidRDefault="005F33B9" w:rsidP="007F7D76">
      <w:pPr>
        <w:pStyle w:val="Standard"/>
        <w:jc w:val="both"/>
        <w:rPr>
          <w:rFonts w:hint="eastAsia"/>
        </w:rPr>
      </w:pPr>
      <w:r>
        <w:t>En réponse, elle indique que</w:t>
      </w:r>
      <w:r w:rsidR="00567B20">
        <w:t> : «</w:t>
      </w:r>
      <w:r w:rsidR="00567B20" w:rsidRPr="00567B20">
        <w:rPr>
          <w:i/>
        </w:rPr>
        <w:t> des consignes seront prochainement données aux préfets pour qu’ils assistent le chef de file en jouant un rôle d’accompagnement et d’intermédiation pour lui permettre d’assurer la nécessaire coordination territoriale et que chacun prenne ses responsabilités en matière de financement et de travaux de mise en accessibilité des arrêts</w:t>
      </w:r>
      <w:r w:rsidR="00567B20">
        <w:t xml:space="preserve">. » </w:t>
      </w:r>
      <w:r w:rsidR="00567B20" w:rsidRPr="00567B20">
        <w:rPr>
          <w:highlight w:val="green"/>
        </w:rPr>
        <w:t xml:space="preserve">(Annexe </w:t>
      </w:r>
      <w:r w:rsidR="0002378C">
        <w:rPr>
          <w:highlight w:val="green"/>
        </w:rPr>
        <w:t>7</w:t>
      </w:r>
      <w:r w:rsidR="00567B20" w:rsidRPr="00567B20">
        <w:rPr>
          <w:highlight w:val="green"/>
        </w:rPr>
        <w:t>)</w:t>
      </w:r>
      <w:r w:rsidR="00567B20">
        <w:t xml:space="preserve">. </w:t>
      </w:r>
    </w:p>
    <w:p w14:paraId="760F9857" w14:textId="4F542928" w:rsidR="00730B06" w:rsidRDefault="00730B06" w:rsidP="007F7D76">
      <w:pPr>
        <w:pStyle w:val="Standard"/>
        <w:jc w:val="both"/>
        <w:rPr>
          <w:rFonts w:hint="eastAsia"/>
        </w:rPr>
      </w:pPr>
    </w:p>
    <w:p w14:paraId="6ABBD57F" w14:textId="77777777" w:rsidR="00730B06" w:rsidRDefault="00730B06" w:rsidP="007F7D76">
      <w:pPr>
        <w:pStyle w:val="Standard"/>
        <w:jc w:val="both"/>
        <w:rPr>
          <w:rFonts w:hint="eastAsia"/>
        </w:rPr>
      </w:pPr>
    </w:p>
    <w:p w14:paraId="510281B6" w14:textId="77777777" w:rsidR="00F80346" w:rsidRDefault="00F80346">
      <w:pPr>
        <w:pStyle w:val="Standard"/>
        <w:rPr>
          <w:rFonts w:hint="eastAsia"/>
        </w:rPr>
      </w:pPr>
    </w:p>
    <w:p w14:paraId="68370EDD" w14:textId="59FC6337" w:rsidR="00F80346" w:rsidRDefault="00520CF5">
      <w:pPr>
        <w:pStyle w:val="Standard"/>
        <w:rPr>
          <w:rFonts w:hint="eastAsia"/>
          <w:b/>
          <w:bCs/>
        </w:rPr>
      </w:pPr>
      <w:r>
        <w:rPr>
          <w:b/>
          <w:bCs/>
        </w:rPr>
        <w:t>9</w:t>
      </w:r>
      <w:r w:rsidR="00F0127D">
        <w:rPr>
          <w:b/>
          <w:bCs/>
        </w:rPr>
        <w:t>- Concertation avec les usagers</w:t>
      </w:r>
    </w:p>
    <w:p w14:paraId="234215C5" w14:textId="77777777" w:rsidR="00F80346" w:rsidRDefault="00F80346">
      <w:pPr>
        <w:pStyle w:val="Standard"/>
        <w:rPr>
          <w:rFonts w:hint="eastAsia"/>
        </w:rPr>
      </w:pPr>
    </w:p>
    <w:p w14:paraId="526925D0" w14:textId="55C2F37A" w:rsidR="00565349" w:rsidRDefault="00F0127D" w:rsidP="00EE616E">
      <w:pPr>
        <w:pStyle w:val="Standard"/>
        <w:jc w:val="both"/>
        <w:rPr>
          <w:rFonts w:hint="eastAsia"/>
        </w:rPr>
      </w:pPr>
      <w:r>
        <w:t>La concertation avec les associations représentant les personnes à mobilité réduite</w:t>
      </w:r>
      <w:r w:rsidR="005A25D8">
        <w:t xml:space="preserve"> </w:t>
      </w:r>
      <w:r>
        <w:t>est maintenue</w:t>
      </w:r>
      <w:r w:rsidR="005F33B9">
        <w:t xml:space="preserve"> par la Région</w:t>
      </w:r>
      <w:r>
        <w:t> :</w:t>
      </w:r>
      <w:r w:rsidR="005B4CC7">
        <w:t xml:space="preserve"> </w:t>
      </w:r>
      <w:r w:rsidR="007B3344">
        <w:t xml:space="preserve">l’organisation d’un comité de concertation regroupant les partenaires </w:t>
      </w:r>
      <w:r w:rsidR="00EE616E">
        <w:t>et les associations représentant les personnes à mobilité réduite est prévu</w:t>
      </w:r>
      <w:r w:rsidR="00621887">
        <w:t>e</w:t>
      </w:r>
      <w:r w:rsidR="00EE616E">
        <w:t xml:space="preserve"> annuellement.</w:t>
      </w:r>
    </w:p>
    <w:p w14:paraId="3F6B31C2" w14:textId="77777777" w:rsidR="002B16BB" w:rsidRDefault="002B16BB">
      <w:pPr>
        <w:pStyle w:val="Standard"/>
        <w:rPr>
          <w:rFonts w:hint="eastAsia"/>
        </w:rPr>
      </w:pPr>
    </w:p>
    <w:p w14:paraId="16613117" w14:textId="144D1718" w:rsidR="00F80346" w:rsidRDefault="00F0127D" w:rsidP="00EE616E">
      <w:pPr>
        <w:pStyle w:val="Standard"/>
        <w:jc w:val="both"/>
        <w:rPr>
          <w:rFonts w:hint="eastAsia"/>
        </w:rPr>
      </w:pPr>
      <w:r>
        <w:t>Nombre de réunions par an :</w:t>
      </w:r>
      <w:r w:rsidR="00616B26">
        <w:t xml:space="preserve"> </w:t>
      </w:r>
      <w:r w:rsidR="00EE616E">
        <w:t>jusqu</w:t>
      </w:r>
      <w:r w:rsidR="00E47BF2">
        <w:t>’en</w:t>
      </w:r>
      <w:r w:rsidR="00EE616E">
        <w:t xml:space="preserve"> 2018, une réunion annuelle était organisée. En 2019, lors de la réunion annuelle</w:t>
      </w:r>
      <w:r w:rsidR="00E47BF2">
        <w:t xml:space="preserve"> qui s’est déroulée au mois de juin</w:t>
      </w:r>
      <w:r w:rsidR="00EE616E">
        <w:t>, les associations ont fait part de leur souhait d’être consulté</w:t>
      </w:r>
      <w:r w:rsidR="00CB4934">
        <w:t>es</w:t>
      </w:r>
      <w:r w:rsidR="00EE616E">
        <w:t xml:space="preserve"> plus régulièrement. De ce fait, deux autres réunions ont été organisées en 2019 : une en octobre sur l’information voyageurs et une en novembre sur l’intégration des clauses dédiées à l’accessibilité dans les marchés </w:t>
      </w:r>
      <w:r w:rsidR="005F33B9">
        <w:t xml:space="preserve">de transport </w:t>
      </w:r>
      <w:r w:rsidR="00EE616E">
        <w:t>régionaux</w:t>
      </w:r>
      <w:r w:rsidR="005F33B9">
        <w:t>, dans la perspective de leur renouvellement</w:t>
      </w:r>
      <w:r w:rsidR="00EE616E">
        <w:t xml:space="preserve">. </w:t>
      </w:r>
    </w:p>
    <w:p w14:paraId="29A4F920" w14:textId="77777777" w:rsidR="00F80346" w:rsidRDefault="00F80346">
      <w:pPr>
        <w:pStyle w:val="Standard"/>
        <w:rPr>
          <w:rFonts w:hint="eastAsia"/>
        </w:rPr>
      </w:pPr>
    </w:p>
    <w:p w14:paraId="56E232E5" w14:textId="0E1378AB" w:rsidR="002A4D95" w:rsidRDefault="00F0127D" w:rsidP="00E6163C">
      <w:pPr>
        <w:pStyle w:val="Standard"/>
        <w:jc w:val="both"/>
        <w:rPr>
          <w:rFonts w:hint="eastAsia"/>
        </w:rPr>
      </w:pPr>
      <w:r>
        <w:t>Précisions sur la concertation :</w:t>
      </w:r>
      <w:r w:rsidR="00616B26">
        <w:t xml:space="preserve"> l’ensemble des associations représentant les personnes à mobilité réduite en région Centre-Val de Loire est convié</w:t>
      </w:r>
      <w:r w:rsidR="00870BE1">
        <w:t xml:space="preserve"> (environ 170</w:t>
      </w:r>
      <w:r w:rsidR="0005653A">
        <w:t xml:space="preserve"> </w:t>
      </w:r>
      <w:r w:rsidR="00AB1370">
        <w:t>organisations)</w:t>
      </w:r>
      <w:r w:rsidR="00616B26">
        <w:t>.</w:t>
      </w:r>
      <w:r w:rsidR="00EE616E">
        <w:t xml:space="preserve"> Généralement une trentaine de personnes participent à ces réunions. </w:t>
      </w:r>
    </w:p>
    <w:p w14:paraId="555F6376" w14:textId="77777777" w:rsidR="0072763E" w:rsidRDefault="0072763E" w:rsidP="00E6163C">
      <w:pPr>
        <w:pStyle w:val="Standard"/>
        <w:jc w:val="both"/>
        <w:rPr>
          <w:rFonts w:hint="eastAsia"/>
        </w:rPr>
      </w:pPr>
    </w:p>
    <w:p w14:paraId="6798EC96" w14:textId="77777777" w:rsidR="00F80346" w:rsidRDefault="00F80346">
      <w:pPr>
        <w:pStyle w:val="Standard"/>
        <w:rPr>
          <w:rFonts w:hint="eastAsia"/>
        </w:rPr>
      </w:pPr>
    </w:p>
    <w:p w14:paraId="70B92456" w14:textId="070EB611" w:rsidR="00F80346" w:rsidRDefault="00520CF5">
      <w:pPr>
        <w:pStyle w:val="Standard"/>
        <w:rPr>
          <w:rFonts w:hint="eastAsia"/>
          <w:b/>
          <w:bCs/>
        </w:rPr>
      </w:pPr>
      <w:r>
        <w:rPr>
          <w:b/>
          <w:bCs/>
        </w:rPr>
        <w:t>10</w:t>
      </w:r>
      <w:r w:rsidR="00F0127D">
        <w:rPr>
          <w:b/>
          <w:bCs/>
        </w:rPr>
        <w:t xml:space="preserve"> – Service de substitution</w:t>
      </w:r>
    </w:p>
    <w:p w14:paraId="5A6B6C43" w14:textId="5CCD6C2A" w:rsidR="002A4D95" w:rsidRDefault="002A4D95">
      <w:pPr>
        <w:pStyle w:val="Standard"/>
        <w:rPr>
          <w:rFonts w:hint="eastAsia"/>
          <w:b/>
          <w:bCs/>
        </w:rPr>
      </w:pPr>
    </w:p>
    <w:p w14:paraId="4FBB6DD6" w14:textId="35F7409F" w:rsidR="002A4D95" w:rsidRDefault="002A4D95" w:rsidP="002A4D95">
      <w:pPr>
        <w:pStyle w:val="Standard"/>
        <w:numPr>
          <w:ilvl w:val="0"/>
          <w:numId w:val="9"/>
        </w:numPr>
        <w:rPr>
          <w:rFonts w:hint="eastAsia"/>
          <w:b/>
          <w:bCs/>
        </w:rPr>
      </w:pPr>
      <w:r>
        <w:rPr>
          <w:b/>
          <w:bCs/>
        </w:rPr>
        <w:t>Service de substitution (réseau ferré)</w:t>
      </w:r>
    </w:p>
    <w:p w14:paraId="09B3DC06" w14:textId="3DB65E31" w:rsidR="00F80346" w:rsidRDefault="00F80346">
      <w:pPr>
        <w:pStyle w:val="Standard"/>
        <w:rPr>
          <w:rFonts w:hint="eastAsia"/>
        </w:rPr>
      </w:pPr>
    </w:p>
    <w:p w14:paraId="45A10142" w14:textId="77777777" w:rsidR="00F80464" w:rsidRDefault="00624A7B" w:rsidP="00D66B9C">
      <w:pPr>
        <w:pStyle w:val="Standard"/>
        <w:jc w:val="both"/>
        <w:rPr>
          <w:rFonts w:hint="eastAsia"/>
        </w:rPr>
      </w:pPr>
      <w:r w:rsidRPr="00624A7B">
        <w:t xml:space="preserve">La Région finance </w:t>
      </w:r>
      <w:r w:rsidR="00D66B9C">
        <w:t xml:space="preserve">depuis 2014 le service Accès Rémi Train (anciennement appelé Accès TER). </w:t>
      </w:r>
    </w:p>
    <w:p w14:paraId="7189079C" w14:textId="7F51E5F3" w:rsidR="002A4D95" w:rsidRDefault="00D66B9C" w:rsidP="00D66B9C">
      <w:pPr>
        <w:pStyle w:val="Standard"/>
        <w:jc w:val="both"/>
        <w:rPr>
          <w:rFonts w:hint="eastAsia"/>
        </w:rPr>
      </w:pPr>
      <w:r>
        <w:t>Le service couvre l’ensemble des gares avec personnel</w:t>
      </w:r>
      <w:r w:rsidR="005F33B9">
        <w:t xml:space="preserve"> desservies par les trains Rémi</w:t>
      </w:r>
      <w:r>
        <w:t xml:space="preserve"> (y compris les gares dites nationales), soit 75 points d’arrêt ferroviaires au total (inclus les 12 points d’arrêts prioritaires inscrits au Sd’AP régional (hors Malesherbes</w:t>
      </w:r>
      <w:r w:rsidR="00DF511B">
        <w:t xml:space="preserve">, </w:t>
      </w:r>
      <w:r w:rsidR="00F80464">
        <w:t xml:space="preserve">concernée exclusivement par la </w:t>
      </w:r>
      <w:r w:rsidR="00DF511B">
        <w:t>circulation de RER</w:t>
      </w:r>
      <w:r w:rsidR="00F80464">
        <w:t>, qui relèvent d’Ile-de-France Mobilités et de son opérateur SNCF Transilien</w:t>
      </w:r>
      <w:r>
        <w:t xml:space="preserve">), ainsi répartis : </w:t>
      </w:r>
    </w:p>
    <w:p w14:paraId="5A7F8236" w14:textId="68B33652" w:rsidR="00D66B9C" w:rsidRDefault="00D66B9C" w:rsidP="00D66B9C">
      <w:pPr>
        <w:pStyle w:val="Standard"/>
        <w:jc w:val="both"/>
        <w:rPr>
          <w:rFonts w:hint="eastAsia"/>
        </w:rPr>
      </w:pPr>
    </w:p>
    <w:p w14:paraId="3E37C66D" w14:textId="22F7EFFC" w:rsidR="00D66B9C" w:rsidRDefault="00D66B9C" w:rsidP="00D66B9C">
      <w:pPr>
        <w:pStyle w:val="Standard"/>
        <w:numPr>
          <w:ilvl w:val="0"/>
          <w:numId w:val="10"/>
        </w:numPr>
        <w:jc w:val="both"/>
        <w:rPr>
          <w:rFonts w:hint="eastAsia"/>
        </w:rPr>
      </w:pPr>
      <w:r>
        <w:t xml:space="preserve">57 gares « régionales » avec personnel en région Centre-Val de Loire, </w:t>
      </w:r>
    </w:p>
    <w:p w14:paraId="1CBE6872" w14:textId="6762C219" w:rsidR="00D66B9C" w:rsidRDefault="00D66B9C" w:rsidP="00D66B9C">
      <w:pPr>
        <w:pStyle w:val="Standard"/>
        <w:numPr>
          <w:ilvl w:val="0"/>
          <w:numId w:val="10"/>
        </w:numPr>
        <w:jc w:val="both"/>
        <w:rPr>
          <w:rFonts w:hint="eastAsia"/>
        </w:rPr>
      </w:pPr>
      <w:r>
        <w:t>1 gare avec personnel en région Normandie</w:t>
      </w:r>
    </w:p>
    <w:p w14:paraId="52BD14DE" w14:textId="572D525A" w:rsidR="00D66B9C" w:rsidRDefault="00D66B9C" w:rsidP="00D66B9C">
      <w:pPr>
        <w:pStyle w:val="Standard"/>
        <w:numPr>
          <w:ilvl w:val="0"/>
          <w:numId w:val="10"/>
        </w:numPr>
        <w:jc w:val="both"/>
        <w:rPr>
          <w:rFonts w:hint="eastAsia"/>
        </w:rPr>
      </w:pPr>
      <w:r>
        <w:t>8 gares « nationales »</w:t>
      </w:r>
    </w:p>
    <w:p w14:paraId="00BD2F39" w14:textId="5A06AFA9" w:rsidR="00D66B9C" w:rsidRDefault="00D66B9C" w:rsidP="00D66B9C">
      <w:pPr>
        <w:pStyle w:val="Standard"/>
        <w:numPr>
          <w:ilvl w:val="0"/>
          <w:numId w:val="10"/>
        </w:numPr>
        <w:jc w:val="both"/>
        <w:rPr>
          <w:rFonts w:hint="eastAsia"/>
        </w:rPr>
      </w:pPr>
      <w:r>
        <w:t xml:space="preserve">9 points d’arrêt non gérés dont la halte de Chevilly inscrite au Sd’AP régional couverte </w:t>
      </w:r>
      <w:r>
        <w:lastRenderedPageBreak/>
        <w:t xml:space="preserve">depuis janvier 2017. </w:t>
      </w:r>
    </w:p>
    <w:p w14:paraId="7C76D2ED" w14:textId="77777777" w:rsidR="00DF511B" w:rsidRDefault="00DF511B" w:rsidP="00D66B9C">
      <w:pPr>
        <w:pStyle w:val="Standard"/>
        <w:jc w:val="both"/>
        <w:rPr>
          <w:rFonts w:hint="eastAsia"/>
        </w:rPr>
      </w:pPr>
    </w:p>
    <w:p w14:paraId="71CB06CB" w14:textId="1B223218" w:rsidR="00D66B9C" w:rsidRDefault="00D66B9C" w:rsidP="00BB1AF8">
      <w:pPr>
        <w:pStyle w:val="Standard"/>
        <w:jc w:val="both"/>
        <w:rPr>
          <w:rFonts w:hint="eastAsia"/>
        </w:rPr>
      </w:pPr>
      <w:r>
        <w:t xml:space="preserve">Le service Accès Rémi Train permet de </w:t>
      </w:r>
      <w:r w:rsidR="00BB1AF8">
        <w:t>r</w:t>
      </w:r>
      <w:r>
        <w:t>éserver un accueil en gare, un accompagnement dans le train et un moyen de substitution (taxi) e</w:t>
      </w:r>
      <w:r w:rsidR="00BB1AF8">
        <w:t>n</w:t>
      </w:r>
      <w:r>
        <w:t xml:space="preserve"> cas d’inaccessibilité de la gare et/ou en l’absence de personnel (service présenté </w:t>
      </w:r>
      <w:r w:rsidRPr="00D66B9C">
        <w:rPr>
          <w:highlight w:val="green"/>
        </w:rPr>
        <w:t xml:space="preserve">en annexe </w:t>
      </w:r>
      <w:r w:rsidR="0002378C">
        <w:rPr>
          <w:highlight w:val="green"/>
        </w:rPr>
        <w:t>8</w:t>
      </w:r>
      <w:r>
        <w:t>)</w:t>
      </w:r>
      <w:r w:rsidR="00BB1AF8">
        <w:t>.</w:t>
      </w:r>
    </w:p>
    <w:p w14:paraId="0F4BE655" w14:textId="6DCFF36A" w:rsidR="00D66B9C" w:rsidRDefault="00D66B9C" w:rsidP="00D66B9C">
      <w:pPr>
        <w:pStyle w:val="Standard"/>
        <w:jc w:val="both"/>
        <w:rPr>
          <w:rFonts w:hint="eastAsia"/>
        </w:rPr>
      </w:pPr>
    </w:p>
    <w:p w14:paraId="5BF13A34" w14:textId="36787FED" w:rsidR="00460D03" w:rsidRDefault="00D66B9C" w:rsidP="00D66B9C">
      <w:pPr>
        <w:pStyle w:val="Standard"/>
        <w:jc w:val="both"/>
        <w:rPr>
          <w:rFonts w:hint="eastAsia"/>
        </w:rPr>
      </w:pPr>
      <w:r>
        <w:t xml:space="preserve">Nombre d’utilisation du service de substitution </w:t>
      </w:r>
      <w:r w:rsidR="00645FEB">
        <w:t>sur</w:t>
      </w:r>
      <w:r>
        <w:t xml:space="preserve"> la période concernée : le détail de l’évolution des volumes de prises en charge PSH/PMR sur le réseau ferroviaire Rémi en Région Centre-Val de Loire (Accès Rémi, Accès Plus et présentation inopinée) est présentée en </w:t>
      </w:r>
      <w:r w:rsidRPr="00D66B9C">
        <w:rPr>
          <w:highlight w:val="green"/>
        </w:rPr>
        <w:t xml:space="preserve">annexe </w:t>
      </w:r>
      <w:r w:rsidR="0002378C">
        <w:rPr>
          <w:highlight w:val="green"/>
        </w:rPr>
        <w:t>9</w:t>
      </w:r>
      <w:r>
        <w:t>.</w:t>
      </w:r>
    </w:p>
    <w:p w14:paraId="1440E72E" w14:textId="77777777" w:rsidR="00460D03" w:rsidRDefault="00460D03" w:rsidP="00D66B9C">
      <w:pPr>
        <w:pStyle w:val="Standard"/>
        <w:jc w:val="both"/>
        <w:rPr>
          <w:rFonts w:hint="eastAsia"/>
        </w:rPr>
      </w:pPr>
    </w:p>
    <w:p w14:paraId="0E657905" w14:textId="4FB1BF81" w:rsidR="00BA20EF" w:rsidRDefault="004E3422" w:rsidP="00D66B9C">
      <w:pPr>
        <w:pStyle w:val="Standard"/>
        <w:jc w:val="both"/>
        <w:rPr>
          <w:rFonts w:hint="eastAsia"/>
        </w:rPr>
      </w:pPr>
      <w:r>
        <w:rPr>
          <w:rFonts w:ascii="Arial" w:hAnsi="Arial" w:cs="Arial"/>
        </w:rPr>
        <w:t>É</w:t>
      </w:r>
      <w:r w:rsidR="00460D03">
        <w:t>volution et faits marquants </w:t>
      </w:r>
      <w:r w:rsidR="00BA20EF">
        <w:t xml:space="preserve">: </w:t>
      </w:r>
    </w:p>
    <w:p w14:paraId="6E8945D8" w14:textId="77777777" w:rsidR="00BA20EF" w:rsidRDefault="00BA20EF" w:rsidP="00D66B9C">
      <w:pPr>
        <w:pStyle w:val="Standard"/>
        <w:jc w:val="both"/>
        <w:rPr>
          <w:rFonts w:hint="eastAsia"/>
        </w:rPr>
      </w:pPr>
    </w:p>
    <w:p w14:paraId="63829E1E" w14:textId="001E6E80" w:rsidR="00BA20EF" w:rsidRDefault="00BA20EF" w:rsidP="00BA20EF">
      <w:pPr>
        <w:pStyle w:val="Standard"/>
        <w:numPr>
          <w:ilvl w:val="0"/>
          <w:numId w:val="10"/>
        </w:numPr>
        <w:jc w:val="both"/>
        <w:rPr>
          <w:rFonts w:hint="eastAsia"/>
        </w:rPr>
      </w:pPr>
      <w:r>
        <w:t>Une stabilité des types d’assistance :</w:t>
      </w:r>
      <w:r w:rsidR="00963AD2">
        <w:t xml:space="preserve"> </w:t>
      </w:r>
      <w:r>
        <w:t xml:space="preserve">assistance simple majoritaire </w:t>
      </w:r>
      <w:r w:rsidR="00963AD2">
        <w:t>à</w:t>
      </w:r>
      <w:r>
        <w:t xml:space="preserve"> 57% et </w:t>
      </w:r>
      <w:r w:rsidR="00963AD2">
        <w:t>a</w:t>
      </w:r>
      <w:r>
        <w:t>ssistanc</w:t>
      </w:r>
      <w:r>
        <w:rPr>
          <w:rFonts w:hint="eastAsia"/>
        </w:rPr>
        <w:t>e</w:t>
      </w:r>
      <w:r>
        <w:t xml:space="preserve"> complexe (personnes en fauteuil ou besoin d’un fauteuil) : 43%. Parmi les gares concernées par une forte proportion d’assistanc</w:t>
      </w:r>
      <w:r>
        <w:rPr>
          <w:rFonts w:hint="eastAsia"/>
        </w:rPr>
        <w:t>e</w:t>
      </w:r>
      <w:r>
        <w:t xml:space="preserve"> complexes, on retrouve : Chinon (93%), Châteauroux (43%) et Courville/Eure (98%). </w:t>
      </w:r>
    </w:p>
    <w:p w14:paraId="6868D265" w14:textId="22B1039F" w:rsidR="00BA20EF" w:rsidRDefault="00BA20EF" w:rsidP="00BA20EF">
      <w:pPr>
        <w:pStyle w:val="Standard"/>
        <w:numPr>
          <w:ilvl w:val="0"/>
          <w:numId w:val="10"/>
        </w:numPr>
        <w:jc w:val="both"/>
        <w:rPr>
          <w:rFonts w:hint="eastAsia"/>
        </w:rPr>
      </w:pPr>
      <w:r>
        <w:rPr>
          <w:rFonts w:hint="eastAsia"/>
        </w:rPr>
        <w:t>Une</w:t>
      </w:r>
      <w:r>
        <w:t xml:space="preserve"> baisse du nombre de prises en charge en 2019 : 35 900 prestations estimées (contre 36 624 en 2018)</w:t>
      </w:r>
    </w:p>
    <w:p w14:paraId="7BE4A0C8" w14:textId="5D8596C7" w:rsidR="00BA20EF" w:rsidRDefault="00BA20EF" w:rsidP="00BA20EF">
      <w:pPr>
        <w:pStyle w:val="Standard"/>
        <w:numPr>
          <w:ilvl w:val="0"/>
          <w:numId w:val="10"/>
        </w:numPr>
        <w:jc w:val="both"/>
        <w:rPr>
          <w:rFonts w:hint="eastAsia"/>
        </w:rPr>
      </w:pPr>
      <w:r>
        <w:t xml:space="preserve">Une hausse significative des prestations garanties (69% en 2019 contre 62% en 2018) au détriment des prestations gérées en inopiné. </w:t>
      </w:r>
    </w:p>
    <w:p w14:paraId="5F315E19" w14:textId="73D550DA" w:rsidR="00BA20EF" w:rsidRDefault="00BA20EF" w:rsidP="00BA20EF">
      <w:pPr>
        <w:pStyle w:val="Standard"/>
        <w:numPr>
          <w:ilvl w:val="0"/>
          <w:numId w:val="10"/>
        </w:numPr>
        <w:jc w:val="both"/>
        <w:rPr>
          <w:rFonts w:hint="eastAsia"/>
        </w:rPr>
      </w:pPr>
      <w:r>
        <w:t xml:space="preserve">Une hausse significative des réservations Accès Rémi Train (3800 appels estimés en 2019 contre 2200 en 2018) : une hausse observée notamment au départ ou à destination des gares concernées par le retrait </w:t>
      </w:r>
      <w:r w:rsidR="005F33B9">
        <w:t xml:space="preserve">du dispositif national </w:t>
      </w:r>
      <w:r>
        <w:t>Accès Plus, une meilleure connaissance du service, une augmentation de la fréquentation du service (clients réguliers), un contexte travaux impliquant avec des circulations de trains modifiées impliquant un recours plus important des réservations du service (besoin de réassurance)</w:t>
      </w:r>
    </w:p>
    <w:p w14:paraId="50AA1B2F" w14:textId="61D34EC1" w:rsidR="00694109" w:rsidRDefault="00BA20EF" w:rsidP="00D66B9C">
      <w:pPr>
        <w:pStyle w:val="Standard"/>
        <w:numPr>
          <w:ilvl w:val="0"/>
          <w:numId w:val="10"/>
        </w:numPr>
        <w:jc w:val="both"/>
        <w:rPr>
          <w:rFonts w:hint="eastAsia"/>
        </w:rPr>
      </w:pPr>
      <w:r>
        <w:t xml:space="preserve">Des prestations en train </w:t>
      </w:r>
      <w:r w:rsidR="005F33B9">
        <w:t xml:space="preserve">pour </w:t>
      </w:r>
      <w:r>
        <w:t>82%</w:t>
      </w:r>
      <w:r w:rsidR="005F33B9">
        <w:t xml:space="preserve"> des demandes,</w:t>
      </w:r>
      <w:r>
        <w:t xml:space="preserve"> mais une hausse significative des prises en charge en taxi. </w:t>
      </w:r>
    </w:p>
    <w:p w14:paraId="05E66966" w14:textId="77777777" w:rsidR="00624A7B" w:rsidRDefault="00624A7B">
      <w:pPr>
        <w:pStyle w:val="Standard"/>
        <w:rPr>
          <w:rFonts w:hint="eastAsia"/>
        </w:rPr>
      </w:pPr>
    </w:p>
    <w:p w14:paraId="710A8E48" w14:textId="496B42EB" w:rsidR="002A4D95" w:rsidRDefault="002A4D95" w:rsidP="002A4D95">
      <w:pPr>
        <w:pStyle w:val="Standard"/>
        <w:numPr>
          <w:ilvl w:val="0"/>
          <w:numId w:val="9"/>
        </w:numPr>
        <w:rPr>
          <w:rFonts w:hint="eastAsia"/>
          <w:b/>
        </w:rPr>
      </w:pPr>
      <w:r w:rsidRPr="002A4D95">
        <w:rPr>
          <w:b/>
        </w:rPr>
        <w:t>Service de substitution (réseau routier)</w:t>
      </w:r>
    </w:p>
    <w:p w14:paraId="32F310FB" w14:textId="547F562F" w:rsidR="002A4D95" w:rsidRDefault="002A4D95" w:rsidP="002A4D95">
      <w:pPr>
        <w:pStyle w:val="Standard"/>
        <w:rPr>
          <w:rFonts w:hint="eastAsia"/>
          <w:b/>
        </w:rPr>
      </w:pPr>
    </w:p>
    <w:p w14:paraId="25AFCCA4" w14:textId="00A57086" w:rsidR="002A4D95" w:rsidRDefault="002A4D95" w:rsidP="00D146FF">
      <w:pPr>
        <w:pStyle w:val="Standard"/>
        <w:jc w:val="both"/>
        <w:rPr>
          <w:rFonts w:hint="eastAsia"/>
        </w:rPr>
      </w:pPr>
      <w:r>
        <w:t>La loi prévoit la mise en place d’un service de substitution dans les 18 mois en cas de points d’arrêt prioritaires en ITA.</w:t>
      </w:r>
      <w:r w:rsidR="000E1A2F">
        <w:t xml:space="preserve"> </w:t>
      </w:r>
    </w:p>
    <w:p w14:paraId="644A75A2" w14:textId="77777777" w:rsidR="002A4D95" w:rsidRDefault="002A4D95" w:rsidP="00D146FF">
      <w:pPr>
        <w:pStyle w:val="Standard"/>
        <w:jc w:val="both"/>
        <w:rPr>
          <w:rFonts w:hint="eastAsia"/>
        </w:rPr>
      </w:pPr>
    </w:p>
    <w:p w14:paraId="178FC1B0" w14:textId="2E7DE3F8" w:rsidR="002A4D95" w:rsidRDefault="002A4D95" w:rsidP="00D146FF">
      <w:pPr>
        <w:pStyle w:val="Standard"/>
        <w:jc w:val="both"/>
        <w:rPr>
          <w:rFonts w:hint="eastAsia"/>
        </w:rPr>
      </w:pPr>
      <w:r>
        <w:t>Le réseau comporte des arrêts en Impossibilité technique Avérée (</w:t>
      </w:r>
      <w:proofErr w:type="gramStart"/>
      <w:r>
        <w:t>ITA) </w:t>
      </w:r>
      <w:r w:rsidR="00EE616E">
        <w:t xml:space="preserve"> dans</w:t>
      </w:r>
      <w:proofErr w:type="gramEnd"/>
      <w:r w:rsidR="00EE616E">
        <w:t xml:space="preserve"> les Sd’AP </w:t>
      </w:r>
      <w:r w:rsidR="00404036">
        <w:t>ex-</w:t>
      </w:r>
      <w:r w:rsidR="00EE616E">
        <w:t xml:space="preserve">départementaux du Cher, de l’Eure-et-Loir et d’Indre-et-Loire. </w:t>
      </w:r>
    </w:p>
    <w:p w14:paraId="01063DC1" w14:textId="77777777" w:rsidR="002A4D95" w:rsidRDefault="002A4D95" w:rsidP="00D146FF">
      <w:pPr>
        <w:pStyle w:val="Standard"/>
        <w:jc w:val="both"/>
        <w:rPr>
          <w:rFonts w:hint="eastAsia"/>
        </w:rPr>
      </w:pPr>
    </w:p>
    <w:p w14:paraId="33EA294E" w14:textId="5B8A1D98" w:rsidR="00404036" w:rsidRDefault="00404036" w:rsidP="00D146FF">
      <w:pPr>
        <w:pStyle w:val="Standard"/>
        <w:jc w:val="both"/>
        <w:rPr>
          <w:rFonts w:hint="eastAsia"/>
        </w:rPr>
      </w:pPr>
      <w:r>
        <w:t xml:space="preserve">A la date du transfert de compétence à la Région, les services de substitution n’étaient pas prévus dans les marchés de transports. </w:t>
      </w:r>
    </w:p>
    <w:p w14:paraId="5C9E24F6" w14:textId="0F5484CD" w:rsidR="00404036" w:rsidRDefault="00404036" w:rsidP="00D146FF">
      <w:pPr>
        <w:pStyle w:val="Standard"/>
        <w:jc w:val="both"/>
        <w:rPr>
          <w:rFonts w:hint="eastAsia"/>
        </w:rPr>
      </w:pPr>
      <w:r>
        <w:t xml:space="preserve">La Région a donc entamé un travail, visant à définir le service, et à le contractualiser, en privilégiant autant que possible l’intégration d’un tel service lors du renouvellement </w:t>
      </w:r>
      <w:r w:rsidR="00F80464">
        <w:t xml:space="preserve">sur le territoire concerné </w:t>
      </w:r>
      <w:r>
        <w:t xml:space="preserve">du marché de transport interurbain/à la demande par car, qu’il complète. </w:t>
      </w:r>
    </w:p>
    <w:p w14:paraId="34D1A859" w14:textId="6A34309A" w:rsidR="00404036" w:rsidRDefault="00404036" w:rsidP="00D146FF">
      <w:pPr>
        <w:pStyle w:val="Standard"/>
        <w:jc w:val="both"/>
        <w:rPr>
          <w:rFonts w:hint="eastAsia"/>
        </w:rPr>
      </w:pPr>
    </w:p>
    <w:p w14:paraId="70417668" w14:textId="545DC785" w:rsidR="00D146FF" w:rsidRDefault="004C50DE" w:rsidP="00D146FF">
      <w:pPr>
        <w:pStyle w:val="Standard"/>
        <w:jc w:val="both"/>
        <w:rPr>
          <w:rFonts w:hint="eastAsia"/>
        </w:rPr>
      </w:pPr>
      <w:r>
        <w:t xml:space="preserve">Pour disposer d’une cohérence régionale, la Région a souhaité </w:t>
      </w:r>
      <w:r w:rsidR="00404036">
        <w:t>définir</w:t>
      </w:r>
      <w:r>
        <w:t xml:space="preserve"> un mode de fonctionnement homogène sur l’ensemble des territoires. </w:t>
      </w:r>
    </w:p>
    <w:p w14:paraId="4DAE8762" w14:textId="18B16B97" w:rsidR="00D146FF" w:rsidRDefault="00D146FF" w:rsidP="00D146FF">
      <w:pPr>
        <w:pStyle w:val="Standard"/>
        <w:jc w:val="both"/>
        <w:rPr>
          <w:rFonts w:hint="eastAsia"/>
        </w:rPr>
      </w:pPr>
    </w:p>
    <w:p w14:paraId="57947458" w14:textId="77777777" w:rsidR="00F80464" w:rsidRDefault="00F80464" w:rsidP="00D146FF">
      <w:pPr>
        <w:pStyle w:val="Standard"/>
        <w:jc w:val="both"/>
        <w:rPr>
          <w:rFonts w:hint="eastAsia"/>
        </w:rPr>
      </w:pPr>
    </w:p>
    <w:p w14:paraId="69794769" w14:textId="38776618" w:rsidR="004C50DE" w:rsidRDefault="004C50DE" w:rsidP="00D146FF">
      <w:pPr>
        <w:pStyle w:val="Standard"/>
        <w:jc w:val="both"/>
        <w:rPr>
          <w:rFonts w:hint="eastAsia"/>
        </w:rPr>
      </w:pPr>
      <w:r>
        <w:t>Fonctionnement du service de substitutio</w:t>
      </w:r>
      <w:r>
        <w:rPr>
          <w:rFonts w:hint="eastAsia"/>
        </w:rPr>
        <w:t>n</w:t>
      </w:r>
      <w:r w:rsidR="00404036">
        <w:t xml:space="preserve"> régional</w:t>
      </w:r>
      <w:r>
        <w:t xml:space="preserve"> : le service de substitution est </w:t>
      </w:r>
      <w:r w:rsidR="006D194E">
        <w:t xml:space="preserve">ouvert à l’ensemble des personnes </w:t>
      </w:r>
      <w:r w:rsidR="002B09EA">
        <w:t>à mobilité</w:t>
      </w:r>
      <w:r w:rsidR="006D194E">
        <w:t xml:space="preserve"> réduite telle que définie selon la directive 2001/85/CE du Parlement européen et du Conseil du 20 novembre 2011</w:t>
      </w:r>
      <w:r>
        <w:t xml:space="preserve">. Il prend en charge les usagers </w:t>
      </w:r>
      <w:r w:rsidR="00995C47">
        <w:lastRenderedPageBreak/>
        <w:t xml:space="preserve">sur l’ensemble des points d’arrêt routiers prioritaires </w:t>
      </w:r>
      <w:r w:rsidR="006D194E">
        <w:t xml:space="preserve">non rendus accessibles à ce jour (ou à proximité). Le véhicule effectue le même trajet, aux mêmes heures et mêmes jours que la ligne régulière à laquelle il se substitue. Ce service fait l’objet d’une réservation préalable.  </w:t>
      </w:r>
    </w:p>
    <w:p w14:paraId="037882B2" w14:textId="77777777" w:rsidR="004C50DE" w:rsidRDefault="004C50DE" w:rsidP="00D146FF">
      <w:pPr>
        <w:pStyle w:val="Standard"/>
        <w:jc w:val="both"/>
        <w:rPr>
          <w:rFonts w:hint="eastAsia"/>
        </w:rPr>
      </w:pPr>
    </w:p>
    <w:p w14:paraId="137A72A5" w14:textId="2D3B0F5F" w:rsidR="002A4D95" w:rsidRDefault="00D146FF" w:rsidP="004F23EA">
      <w:pPr>
        <w:pStyle w:val="Standard"/>
        <w:jc w:val="both"/>
        <w:rPr>
          <w:rFonts w:hint="eastAsia"/>
        </w:rPr>
      </w:pPr>
      <w:r>
        <w:t>Date de mise en service du transport de substitution : un transport de substitution est mis en place depuis le 1</w:t>
      </w:r>
      <w:r w:rsidRPr="00D146FF">
        <w:rPr>
          <w:vertAlign w:val="superscript"/>
        </w:rPr>
        <w:t>er</w:t>
      </w:r>
      <w:r>
        <w:t xml:space="preserve"> septembre 2019 dans le département d’Indre-et-Loire, </w:t>
      </w:r>
      <w:r w:rsidR="00404036">
        <w:t>puisqu’</w:t>
      </w:r>
      <w:r>
        <w:t>il a été intégré dans le renouvellement du marché de transport à la demande</w:t>
      </w:r>
      <w:r w:rsidR="00404036">
        <w:t xml:space="preserve"> à cette même date</w:t>
      </w:r>
      <w:r>
        <w:t xml:space="preserve">. Pour les deux autres départements, ce service de substitution sera mis en place au moment du renouvellement des marchés. </w:t>
      </w:r>
    </w:p>
    <w:p w14:paraId="727D21C1" w14:textId="4584E3FF" w:rsidR="0043553F" w:rsidRDefault="0043553F" w:rsidP="004F23EA">
      <w:pPr>
        <w:pStyle w:val="Standard"/>
        <w:jc w:val="both"/>
        <w:rPr>
          <w:rFonts w:hint="eastAsia"/>
        </w:rPr>
      </w:pPr>
    </w:p>
    <w:p w14:paraId="1E582C3D" w14:textId="77777777" w:rsidR="0043553F" w:rsidRDefault="0043553F" w:rsidP="0043553F">
      <w:pPr>
        <w:pStyle w:val="Standard"/>
        <w:jc w:val="both"/>
        <w:rPr>
          <w:rFonts w:hint="eastAsia"/>
        </w:rPr>
      </w:pPr>
      <w:r>
        <w:t xml:space="preserve">Date prévisionnelle de mise en place du service de substitution : </w:t>
      </w:r>
    </w:p>
    <w:p w14:paraId="37A5D3C9" w14:textId="77777777" w:rsidR="0043553F" w:rsidRDefault="0043553F" w:rsidP="0043553F">
      <w:pPr>
        <w:pStyle w:val="Standard"/>
        <w:jc w:val="both"/>
        <w:rPr>
          <w:rFonts w:hint="eastAsia"/>
        </w:rPr>
      </w:pPr>
    </w:p>
    <w:p w14:paraId="6FBAA5A0" w14:textId="77777777" w:rsidR="0043553F" w:rsidRPr="004F23EA" w:rsidRDefault="0043553F" w:rsidP="0043553F">
      <w:pPr>
        <w:pStyle w:val="Standard"/>
        <w:numPr>
          <w:ilvl w:val="0"/>
          <w:numId w:val="10"/>
        </w:numPr>
        <w:jc w:val="both"/>
        <w:rPr>
          <w:rFonts w:hint="eastAsia"/>
        </w:rPr>
      </w:pPr>
      <w:r w:rsidRPr="004F23EA">
        <w:t>Pour le département de l’Eure-et-Loir : à compter du 1</w:t>
      </w:r>
      <w:r w:rsidRPr="004F23EA">
        <w:rPr>
          <w:vertAlign w:val="superscript"/>
        </w:rPr>
        <w:t>er</w:t>
      </w:r>
      <w:r w:rsidRPr="004F23EA">
        <w:t xml:space="preserve"> janvier 2021</w:t>
      </w:r>
    </w:p>
    <w:p w14:paraId="62013A61" w14:textId="5EC930A0" w:rsidR="0043553F" w:rsidRDefault="0043553F" w:rsidP="004F23EA">
      <w:pPr>
        <w:pStyle w:val="Standard"/>
        <w:numPr>
          <w:ilvl w:val="0"/>
          <w:numId w:val="10"/>
        </w:numPr>
        <w:jc w:val="both"/>
        <w:rPr>
          <w:rFonts w:hint="eastAsia"/>
        </w:rPr>
      </w:pPr>
      <w:r w:rsidRPr="004F23EA">
        <w:t>Pour le département du Cher : à compter du 1</w:t>
      </w:r>
      <w:r w:rsidRPr="004F23EA">
        <w:rPr>
          <w:vertAlign w:val="superscript"/>
        </w:rPr>
        <w:t>er</w:t>
      </w:r>
      <w:r w:rsidRPr="004F23EA">
        <w:t xml:space="preserve"> janvier 2022</w:t>
      </w:r>
    </w:p>
    <w:p w14:paraId="084D800F" w14:textId="77777777" w:rsidR="00EE616E" w:rsidRDefault="00EE616E" w:rsidP="004F23EA">
      <w:pPr>
        <w:pStyle w:val="Standard"/>
        <w:jc w:val="both"/>
        <w:rPr>
          <w:rFonts w:hint="eastAsia"/>
        </w:rPr>
      </w:pPr>
    </w:p>
    <w:p w14:paraId="43AA0722" w14:textId="7C9786FD" w:rsidR="002A4D95" w:rsidRDefault="002A4D95" w:rsidP="004F23EA">
      <w:pPr>
        <w:pStyle w:val="Standard"/>
        <w:jc w:val="both"/>
        <w:rPr>
          <w:rFonts w:hint="eastAsia"/>
        </w:rPr>
      </w:pPr>
      <w:r>
        <w:t xml:space="preserve">Nombre d’utilisation du service de substitution pour le réseau routier au cours de l’année </w:t>
      </w:r>
      <w:r w:rsidR="009D5F23">
        <w:t>écoulée </w:t>
      </w:r>
      <w:r w:rsidR="00AD2FE0">
        <w:t>dans le département d’Indre-et-Loire</w:t>
      </w:r>
      <w:r w:rsidR="009D5F23">
        <w:t xml:space="preserve"> : </w:t>
      </w:r>
    </w:p>
    <w:p w14:paraId="6B520D70" w14:textId="45DA7706" w:rsidR="009D5F23" w:rsidRDefault="009D5F23" w:rsidP="004F23EA">
      <w:pPr>
        <w:pStyle w:val="Standard"/>
        <w:jc w:val="both"/>
        <w:rPr>
          <w:rFonts w:hint="eastAsia"/>
        </w:rPr>
      </w:pPr>
    </w:p>
    <w:p w14:paraId="69150C66" w14:textId="652E34BE" w:rsidR="009D5F23" w:rsidRDefault="009D5F23" w:rsidP="004F23EA">
      <w:pPr>
        <w:pStyle w:val="Standard"/>
        <w:jc w:val="both"/>
        <w:rPr>
          <w:rFonts w:hint="eastAsia"/>
        </w:rPr>
      </w:pPr>
      <w:r>
        <w:t>Septembre 2019 : 8 allers et 8 retours. Deux lignes sont concernées (M et H)</w:t>
      </w:r>
    </w:p>
    <w:p w14:paraId="38AA3EF5" w14:textId="192FEDBC" w:rsidR="009D5F23" w:rsidRDefault="009D5F23" w:rsidP="004F23EA">
      <w:pPr>
        <w:pStyle w:val="Standard"/>
        <w:jc w:val="both"/>
        <w:rPr>
          <w:rFonts w:hint="eastAsia"/>
        </w:rPr>
      </w:pPr>
      <w:r>
        <w:t xml:space="preserve">Octobre 2019 : 5 allers et 4 retours. Les mêmes lignes sont concernées. </w:t>
      </w:r>
    </w:p>
    <w:p w14:paraId="5EC013AC" w14:textId="09BF872D" w:rsidR="009D5F23" w:rsidRDefault="009D5F23" w:rsidP="004F23EA">
      <w:pPr>
        <w:pStyle w:val="Standard"/>
        <w:jc w:val="both"/>
        <w:rPr>
          <w:rFonts w:hint="eastAsia"/>
        </w:rPr>
      </w:pPr>
    </w:p>
    <w:p w14:paraId="4FBB426F" w14:textId="51742F55" w:rsidR="00EE616E" w:rsidRDefault="009D5F23" w:rsidP="004F23EA">
      <w:pPr>
        <w:pStyle w:val="Standard"/>
        <w:jc w:val="both"/>
        <w:rPr>
          <w:rFonts w:hint="eastAsia"/>
        </w:rPr>
      </w:pPr>
      <w:r>
        <w:t xml:space="preserve">Parmi les personnes utilisant ce service, </w:t>
      </w:r>
      <w:r w:rsidR="004F23EA">
        <w:t>3 personnes</w:t>
      </w:r>
      <w:r w:rsidR="00AD2FE0">
        <w:t xml:space="preserve"> </w:t>
      </w:r>
      <w:r w:rsidR="00404036">
        <w:t xml:space="preserve">sont usagers </w:t>
      </w:r>
      <w:r w:rsidR="00AD2FE0">
        <w:t>en fauteuil roulant</w:t>
      </w:r>
      <w:r w:rsidR="004F23EA">
        <w:t xml:space="preserve">. </w:t>
      </w:r>
    </w:p>
    <w:p w14:paraId="4493C321" w14:textId="77777777" w:rsidR="000D6312" w:rsidRDefault="000D6312" w:rsidP="004F23EA">
      <w:pPr>
        <w:pStyle w:val="Standard"/>
        <w:jc w:val="both"/>
        <w:rPr>
          <w:rFonts w:hint="eastAsia"/>
        </w:rPr>
      </w:pPr>
    </w:p>
    <w:p w14:paraId="326EAF55" w14:textId="78631229" w:rsidR="009237A1" w:rsidRPr="009F7702" w:rsidRDefault="009F7702">
      <w:pPr>
        <w:pStyle w:val="Standard"/>
        <w:rPr>
          <w:rFonts w:hint="eastAsia"/>
          <w:b/>
        </w:rPr>
      </w:pPr>
      <w:r w:rsidRPr="009F7702">
        <w:rPr>
          <w:b/>
        </w:rPr>
        <w:t>C) Demande d’ITA pour un point d’arrêt routier prioritaire</w:t>
      </w:r>
    </w:p>
    <w:p w14:paraId="52DA3419" w14:textId="180D7F8C" w:rsidR="009F7702" w:rsidRDefault="009F7702">
      <w:pPr>
        <w:pStyle w:val="Standard"/>
        <w:rPr>
          <w:rFonts w:hint="eastAsia"/>
        </w:rPr>
      </w:pPr>
    </w:p>
    <w:p w14:paraId="17BA27B9" w14:textId="30473E0B" w:rsidR="009F7702" w:rsidRPr="009F7702" w:rsidRDefault="009F7702" w:rsidP="009F7702">
      <w:pPr>
        <w:pStyle w:val="Standard"/>
        <w:jc w:val="both"/>
        <w:rPr>
          <w:rFonts w:hint="eastAsia"/>
        </w:rPr>
      </w:pPr>
      <w:r w:rsidRPr="009F7702">
        <w:t xml:space="preserve">«En application de l'article L1112-4 du code des transports,  la mise en accessibilité d'un arrêt identifié comme prioritaire au sens de l'article </w:t>
      </w:r>
      <w:hyperlink r:id="rId10" w:history="1">
        <w:r w:rsidRPr="009F7702">
          <w:t>L. 1112-1</w:t>
        </w:r>
      </w:hyperlink>
      <w:r w:rsidRPr="009F7702">
        <w:t xml:space="preserve"> s'avère techniquement impossible en raison d'un obstacle impossible à surmonter sauf à procéder à des aménagements d'un coût manifestement disproportionné.</w:t>
      </w:r>
    </w:p>
    <w:p w14:paraId="5B929822" w14:textId="77777777" w:rsidR="009F7702" w:rsidRPr="009F7702" w:rsidRDefault="009F7702" w:rsidP="009F7702">
      <w:pPr>
        <w:pStyle w:val="Standard"/>
        <w:jc w:val="both"/>
        <w:rPr>
          <w:rFonts w:hint="eastAsia"/>
        </w:rPr>
      </w:pPr>
      <w:r w:rsidRPr="009F7702">
        <w:t>L’article D1112-15  précise que « </w:t>
      </w:r>
      <w:r w:rsidRPr="009F7702">
        <w:rPr>
          <w:i/>
        </w:rPr>
        <w:t>La mise en accessibilité aux personnes handicapées ou dont la mobilité est réduite, d'un point d'arrêt routier est considérée comme techniquement impossible notamment lorsque la voirie qui supporte le point d'arrêt présente une pente supérieure à 5 % ou que l'emprise de ce point d'arrêt est trop étroite pour permettre le respect de la distance minimale de 1,50 m prévue pour le retournement de la personne en fauteuil roulant sur le point d'arrêt une fois la rampe déployée, et qu'aucune autre solution technique, tel le déplacement du point d'arrêt, ne permettrait sa mise en accessibilité sans nuire à la sécurité des usagers</w:t>
      </w:r>
      <w:r w:rsidRPr="009F7702">
        <w:t>. »</w:t>
      </w:r>
    </w:p>
    <w:p w14:paraId="21E32579" w14:textId="77777777" w:rsidR="009F7702" w:rsidRPr="009F7702" w:rsidRDefault="009F7702" w:rsidP="009F7702">
      <w:pPr>
        <w:pStyle w:val="Standard"/>
        <w:jc w:val="both"/>
        <w:rPr>
          <w:rFonts w:hint="eastAsia"/>
        </w:rPr>
      </w:pPr>
    </w:p>
    <w:p w14:paraId="2221539F" w14:textId="77777777" w:rsidR="009F7702" w:rsidRPr="009F7702" w:rsidRDefault="009F7702" w:rsidP="009F7702">
      <w:pPr>
        <w:pStyle w:val="Standard"/>
        <w:jc w:val="both"/>
        <w:rPr>
          <w:rFonts w:hint="eastAsia"/>
        </w:rPr>
      </w:pPr>
      <w:r w:rsidRPr="009F7702">
        <w:t>Le point d’arrêt routier « Mairie » à Levet a été inscrit comme prioritaire au titre du Sd’AP du Conseil départemental du Cher (18), sans identification d’une impossibilité technique avérée.</w:t>
      </w:r>
    </w:p>
    <w:p w14:paraId="7391CB3B" w14:textId="77777777" w:rsidR="009F7702" w:rsidRPr="009F7702" w:rsidRDefault="009F7702" w:rsidP="009F7702">
      <w:pPr>
        <w:pStyle w:val="Standard"/>
        <w:jc w:val="both"/>
        <w:rPr>
          <w:rFonts w:hint="eastAsia"/>
        </w:rPr>
      </w:pPr>
      <w:r w:rsidRPr="009F7702">
        <w:t>Or, il s’avère que la mise en accessibilité est rendue impossible au vu des contraintes techniques suivantes :</w:t>
      </w:r>
    </w:p>
    <w:p w14:paraId="3B2E99C9" w14:textId="7D87A93C" w:rsidR="009F7702" w:rsidRPr="009F7702" w:rsidRDefault="009F7702" w:rsidP="009F7702">
      <w:pPr>
        <w:pStyle w:val="Standard"/>
        <w:numPr>
          <w:ilvl w:val="0"/>
          <w:numId w:val="10"/>
        </w:numPr>
        <w:jc w:val="both"/>
        <w:rPr>
          <w:rFonts w:hint="eastAsia"/>
        </w:rPr>
      </w:pPr>
      <w:r w:rsidRPr="009F7702">
        <w:t xml:space="preserve">La largeur du trottoir (environ 1 mètre) ne permet pas une prise en charge d’une personne en fauteuil (espace nécessaire pour le déploiement de la plateforme PMR d’un autocar + prise en charge du fauteuil = au moins 2 mètres) </w:t>
      </w:r>
    </w:p>
    <w:p w14:paraId="05CE7789" w14:textId="676588C0" w:rsidR="009F7702" w:rsidRPr="009F7702" w:rsidRDefault="009F7702" w:rsidP="009F7702">
      <w:pPr>
        <w:pStyle w:val="Standard"/>
        <w:ind w:left="709"/>
        <w:jc w:val="both"/>
        <w:rPr>
          <w:rFonts w:hint="eastAsia"/>
        </w:rPr>
      </w:pPr>
      <w:r w:rsidRPr="009F7702">
        <w:t>A ce titre également cette configuration des lieux ne permet pas de mettre le panneau arrêt de car (C6) et l’abribus au même niveau que le zébra (du fait d’une largeur de trottoir insuffisante). Ils ont donc été installés à une dizaine de mètres en amont du futur zébra.</w:t>
      </w:r>
    </w:p>
    <w:p w14:paraId="5CCC6922" w14:textId="17BC6148" w:rsidR="009F7702" w:rsidRPr="009F7702" w:rsidRDefault="009F7702" w:rsidP="009F7702">
      <w:pPr>
        <w:pStyle w:val="Standard"/>
        <w:numPr>
          <w:ilvl w:val="0"/>
          <w:numId w:val="10"/>
        </w:numPr>
        <w:jc w:val="both"/>
        <w:rPr>
          <w:rFonts w:hint="eastAsia"/>
        </w:rPr>
      </w:pPr>
      <w:r w:rsidRPr="009F7702">
        <w:t xml:space="preserve">La largeur de la voie de 6 mètres de large rend impossible l’arrêt du car en dehors de la zone du point d’arrêt routier pour prendre en charge un usager en fauteuil roulant (UFR), sans bloquer la circulation dans les 2 sens pendant 15 mn </w:t>
      </w:r>
      <w:r w:rsidRPr="009F7702">
        <w:lastRenderedPageBreak/>
        <w:t xml:space="preserve">(impossibilité compte-tenu de la circulation importante sur cet axe). </w:t>
      </w:r>
    </w:p>
    <w:p w14:paraId="28EA1731" w14:textId="77777777" w:rsidR="009F7702" w:rsidRPr="009F7702" w:rsidRDefault="009F7702" w:rsidP="009F7702">
      <w:pPr>
        <w:pStyle w:val="Standard"/>
        <w:jc w:val="both"/>
        <w:rPr>
          <w:rFonts w:hint="eastAsia"/>
        </w:rPr>
      </w:pPr>
      <w:r w:rsidRPr="009F7702">
        <w:t>Des solutions alternatives n’ont pu être trouvées :</w:t>
      </w:r>
    </w:p>
    <w:p w14:paraId="37888479" w14:textId="05BA6791" w:rsidR="009F7702" w:rsidRPr="009F7702" w:rsidRDefault="009F7702" w:rsidP="009F7702">
      <w:pPr>
        <w:pStyle w:val="Standard"/>
        <w:numPr>
          <w:ilvl w:val="0"/>
          <w:numId w:val="10"/>
        </w:numPr>
        <w:jc w:val="both"/>
        <w:rPr>
          <w:rFonts w:hint="eastAsia"/>
        </w:rPr>
      </w:pPr>
      <w:r w:rsidRPr="009F7702">
        <w:t>L’aménagement de la voirie ne permet ni de déplacer le point d’arrêt routier dans une zone à proximité, ni d’étendre la parcelle.</w:t>
      </w:r>
    </w:p>
    <w:p w14:paraId="0B4EEF5A" w14:textId="2986699A" w:rsidR="009F7702" w:rsidRPr="009F7702" w:rsidRDefault="009F7702" w:rsidP="009F7702">
      <w:pPr>
        <w:pStyle w:val="Standard"/>
        <w:numPr>
          <w:ilvl w:val="0"/>
          <w:numId w:val="10"/>
        </w:numPr>
        <w:jc w:val="both"/>
        <w:rPr>
          <w:rFonts w:hint="eastAsia"/>
        </w:rPr>
      </w:pPr>
      <w:r w:rsidRPr="009F7702">
        <w:t>Les autres points d’arrêt routier (situés à 1,5km de part et d’autre) ne permettent pas une prise en charge d’un UFR utilisant une ligne régulière, s’agissant de points d’arrêt exclusivement scolaires.</w:t>
      </w:r>
    </w:p>
    <w:p w14:paraId="6E40F78E" w14:textId="06708EE5" w:rsidR="009F7702" w:rsidRDefault="009F7702" w:rsidP="009F7702">
      <w:pPr>
        <w:pStyle w:val="Standard"/>
        <w:jc w:val="both"/>
        <w:rPr>
          <w:rFonts w:hint="eastAsia"/>
        </w:rPr>
      </w:pPr>
      <w:r w:rsidRPr="009F7702">
        <w:t>Pour précision, une seule demande de transport d’UFR a été effectuée en 2019. </w:t>
      </w:r>
    </w:p>
    <w:p w14:paraId="2726A65C" w14:textId="77777777" w:rsidR="009F7702" w:rsidRPr="009F7702" w:rsidRDefault="009F7702" w:rsidP="009F7702">
      <w:pPr>
        <w:pStyle w:val="Standard"/>
        <w:jc w:val="both"/>
        <w:rPr>
          <w:rFonts w:hint="eastAsia"/>
        </w:rPr>
      </w:pPr>
    </w:p>
    <w:p w14:paraId="4D65F4B4" w14:textId="7F31A355" w:rsidR="009F7702" w:rsidRPr="009F7702" w:rsidRDefault="009F7702" w:rsidP="009F7702">
      <w:pPr>
        <w:pStyle w:val="Standard"/>
        <w:jc w:val="both"/>
        <w:rPr>
          <w:rFonts w:hint="eastAsia"/>
        </w:rPr>
      </w:pPr>
      <w:r w:rsidRPr="009F7702">
        <w:rPr>
          <w:b/>
        </w:rPr>
        <w:t>Au vu de ces éléments, la Région Centre-Val de Loire demande une dérogation à la mise en accessibilité du point d’arrêt routier « Mairie » à Levet, motivée par cette impossibilité technique avérée</w:t>
      </w:r>
      <w:r w:rsidRPr="009F7702">
        <w:t>. </w:t>
      </w:r>
    </w:p>
    <w:p w14:paraId="5BF69EDE" w14:textId="02812207" w:rsidR="009F7702" w:rsidRPr="009F7702" w:rsidRDefault="009F7702" w:rsidP="009F7702">
      <w:pPr>
        <w:pStyle w:val="Standard"/>
        <w:jc w:val="both"/>
        <w:rPr>
          <w:rFonts w:hint="eastAsia"/>
        </w:rPr>
      </w:pPr>
      <w:r w:rsidRPr="009F7702">
        <w:t>Il convien</w:t>
      </w:r>
      <w:r w:rsidR="00404036">
        <w:t>dra</w:t>
      </w:r>
      <w:r w:rsidRPr="009F7702">
        <w:t xml:space="preserve"> donc </w:t>
      </w:r>
      <w:r w:rsidR="00404036">
        <w:t xml:space="preserve">dans ce cas </w:t>
      </w:r>
      <w:r w:rsidRPr="009F7702">
        <w:t>de mettre en place un service de substitution</w:t>
      </w:r>
      <w:r w:rsidR="00404036">
        <w:t>, lors de la mise en œuvre de celui-</w:t>
      </w:r>
      <w:proofErr w:type="gramStart"/>
      <w:r w:rsidR="00404036">
        <w:t xml:space="preserve">ci </w:t>
      </w:r>
      <w:r>
        <w:t>.</w:t>
      </w:r>
      <w:proofErr w:type="gramEnd"/>
    </w:p>
    <w:p w14:paraId="094197A3" w14:textId="77777777" w:rsidR="009F7702" w:rsidRDefault="009F7702">
      <w:pPr>
        <w:pStyle w:val="Standard"/>
        <w:rPr>
          <w:rFonts w:hint="eastAsia"/>
        </w:rPr>
      </w:pPr>
    </w:p>
    <w:p w14:paraId="62B02193" w14:textId="2ED261CD" w:rsidR="00F80346" w:rsidRDefault="00520CF5">
      <w:pPr>
        <w:pStyle w:val="Standard"/>
        <w:rPr>
          <w:rFonts w:hint="eastAsia"/>
          <w:b/>
          <w:bCs/>
        </w:rPr>
      </w:pPr>
      <w:r>
        <w:rPr>
          <w:b/>
          <w:bCs/>
        </w:rPr>
        <w:t>11</w:t>
      </w:r>
      <w:r w:rsidR="00F0127D">
        <w:rPr>
          <w:b/>
          <w:bCs/>
        </w:rPr>
        <w:t xml:space="preserve"> – Accessibilité et usages du parc de véhicules</w:t>
      </w:r>
    </w:p>
    <w:p w14:paraId="1A04E24A" w14:textId="77777777" w:rsidR="00F80346" w:rsidRDefault="00F80346">
      <w:pPr>
        <w:pStyle w:val="Standard"/>
        <w:rPr>
          <w:rFonts w:hint="eastAsia"/>
        </w:rPr>
      </w:pPr>
    </w:p>
    <w:p w14:paraId="4869FB36" w14:textId="017589D3" w:rsidR="00F80346" w:rsidRPr="00D510EC" w:rsidRDefault="00D510EC" w:rsidP="00D510EC">
      <w:pPr>
        <w:pStyle w:val="Standard"/>
        <w:numPr>
          <w:ilvl w:val="0"/>
          <w:numId w:val="6"/>
        </w:numPr>
        <w:rPr>
          <w:rFonts w:hint="eastAsia"/>
          <w:b/>
        </w:rPr>
      </w:pPr>
      <w:r>
        <w:rPr>
          <w:b/>
        </w:rPr>
        <w:t xml:space="preserve">Accessibilité du parc de matériel roulant ferré et usages </w:t>
      </w:r>
    </w:p>
    <w:p w14:paraId="7FDC27F5" w14:textId="3B1C6D0C" w:rsidR="00D510EC" w:rsidRDefault="00D510EC" w:rsidP="00D510EC">
      <w:pPr>
        <w:pStyle w:val="Standard"/>
        <w:rPr>
          <w:rFonts w:hint="eastAsia"/>
        </w:rPr>
      </w:pPr>
    </w:p>
    <w:p w14:paraId="427E37E6" w14:textId="73E8475B" w:rsidR="00D510EC" w:rsidRDefault="000437EB" w:rsidP="004E3422">
      <w:pPr>
        <w:pStyle w:val="Standard"/>
        <w:jc w:val="both"/>
        <w:rPr>
          <w:rFonts w:hint="eastAsia"/>
        </w:rPr>
      </w:pPr>
      <w:r w:rsidRPr="000437EB">
        <w:t xml:space="preserve">Depuis </w:t>
      </w:r>
      <w:r>
        <w:t xml:space="preserve">mi-2018, la desserte interloire (Orléans – Nantes – Le Croisic) est assurée par du matériel Regio2N (accessible). </w:t>
      </w:r>
    </w:p>
    <w:p w14:paraId="3106693E" w14:textId="5E003AAD" w:rsidR="000437EB" w:rsidRPr="000437EB" w:rsidRDefault="000437EB">
      <w:pPr>
        <w:pStyle w:val="Standard"/>
        <w:rPr>
          <w:rFonts w:hint="eastAsia"/>
          <w:bCs/>
        </w:rPr>
      </w:pPr>
    </w:p>
    <w:p w14:paraId="49D7DFCE" w14:textId="3F9A3281" w:rsidR="000437EB" w:rsidRDefault="000437EB">
      <w:pPr>
        <w:pStyle w:val="Standard"/>
        <w:rPr>
          <w:rFonts w:hint="eastAsia"/>
          <w:bCs/>
        </w:rPr>
      </w:pPr>
      <w:r w:rsidRPr="000437EB">
        <w:rPr>
          <w:bCs/>
        </w:rPr>
        <w:t xml:space="preserve">Sur l’axe Paris – Chartres – Nogent, l’ensemble des VO2N a été remplacé par du nouveau matériel Regio2N (accessible). </w:t>
      </w:r>
    </w:p>
    <w:p w14:paraId="19905D47" w14:textId="52571B2C" w:rsidR="000437EB" w:rsidRDefault="000437EB">
      <w:pPr>
        <w:pStyle w:val="Standard"/>
        <w:rPr>
          <w:rFonts w:hint="eastAsia"/>
          <w:bCs/>
        </w:rPr>
      </w:pPr>
    </w:p>
    <w:p w14:paraId="72BA5188" w14:textId="567398EE" w:rsidR="000437EB" w:rsidRDefault="000437EB" w:rsidP="004E3422">
      <w:pPr>
        <w:pStyle w:val="Standard"/>
        <w:jc w:val="both"/>
        <w:rPr>
          <w:rFonts w:hint="eastAsia"/>
          <w:bCs/>
        </w:rPr>
      </w:pPr>
      <w:r>
        <w:rPr>
          <w:bCs/>
        </w:rPr>
        <w:t>Par ailleurs, 16 rames de XTER (réparti</w:t>
      </w:r>
      <w:r w:rsidR="00404036">
        <w:rPr>
          <w:bCs/>
        </w:rPr>
        <w:t>es</w:t>
      </w:r>
      <w:r>
        <w:rPr>
          <w:bCs/>
        </w:rPr>
        <w:t xml:space="preserve"> sur la région) sont en cours de rénovation, notamment pour intégrer : </w:t>
      </w:r>
    </w:p>
    <w:p w14:paraId="042E5F54" w14:textId="020BC7E6" w:rsidR="000437EB" w:rsidRDefault="000437EB">
      <w:pPr>
        <w:pStyle w:val="Standard"/>
        <w:rPr>
          <w:rFonts w:hint="eastAsia"/>
          <w:bCs/>
        </w:rPr>
      </w:pPr>
    </w:p>
    <w:p w14:paraId="190086BE" w14:textId="6CE4237F" w:rsidR="000437EB" w:rsidRDefault="000437EB" w:rsidP="000437EB">
      <w:pPr>
        <w:pStyle w:val="Standard"/>
        <w:numPr>
          <w:ilvl w:val="0"/>
          <w:numId w:val="10"/>
        </w:numPr>
        <w:jc w:val="both"/>
        <w:rPr>
          <w:rFonts w:hint="eastAsia"/>
          <w:bCs/>
        </w:rPr>
      </w:pPr>
      <w:r w:rsidRPr="000437EB">
        <w:rPr>
          <w:bCs/>
        </w:rPr>
        <w:t>Option « STI PMR commun » comprenant</w:t>
      </w:r>
      <w:r>
        <w:rPr>
          <w:bCs/>
        </w:rPr>
        <w:t xml:space="preserve"> : la mise en place d’une bande antidérapante et contrastée sur les seuils de porte, pour le repérage des escaliers d’accès salle haute ; la reprise en contraste des boutons d’ouverture de portes intérieures ; L’ajout d’un voyant d’imminence fermeture porte ; L’ajout d’une main courante pour accéder à la salle haute , si inexistante ; la mise en place de poignées de maintien sur la structure des appuie-têtes des sièges ; La mise en place d’une signalétique adaptée PMR (en braille) dans les WC. </w:t>
      </w:r>
    </w:p>
    <w:p w14:paraId="0732BCA5" w14:textId="6E24B6A1" w:rsidR="000437EB" w:rsidRDefault="000437EB" w:rsidP="000437EB">
      <w:pPr>
        <w:pStyle w:val="Standard"/>
        <w:numPr>
          <w:ilvl w:val="0"/>
          <w:numId w:val="10"/>
        </w:numPr>
        <w:jc w:val="both"/>
        <w:rPr>
          <w:rFonts w:hint="eastAsia"/>
          <w:bCs/>
        </w:rPr>
      </w:pPr>
      <w:r>
        <w:rPr>
          <w:bCs/>
        </w:rPr>
        <w:t xml:space="preserve">Option « STI PMR optionnelle » comprenant : La reprise en contraste du pelliculage de la face intérieure des portes d’accès ; Le remplacement du bouton poussoir d’ouverture extérieure par un modèle lumineux et en relief ; </w:t>
      </w:r>
      <w:r w:rsidR="00125DD1">
        <w:rPr>
          <w:bCs/>
        </w:rPr>
        <w:t xml:space="preserve">La mise en place de bandeaux contrastés pour repérer les portes intercirculation et intersalles. </w:t>
      </w:r>
    </w:p>
    <w:p w14:paraId="117F2A50" w14:textId="3FD03A45" w:rsidR="00125DD1" w:rsidRDefault="00125DD1" w:rsidP="000437EB">
      <w:pPr>
        <w:pStyle w:val="Standard"/>
        <w:numPr>
          <w:ilvl w:val="0"/>
          <w:numId w:val="10"/>
        </w:numPr>
        <w:jc w:val="both"/>
        <w:rPr>
          <w:rFonts w:hint="eastAsia"/>
          <w:bCs/>
        </w:rPr>
      </w:pPr>
      <w:r>
        <w:rPr>
          <w:bCs/>
        </w:rPr>
        <w:t xml:space="preserve">Option « rampe UFR » comprenant : la réalisation et l’implantation sur la plateforme d’accès voyageur d’un coffret de rangement d’une rampe d’accès embarquée pour les utilisateurs de fauteuil roulant. </w:t>
      </w:r>
    </w:p>
    <w:p w14:paraId="32584707" w14:textId="7FA9A8D6" w:rsidR="00125DD1" w:rsidRDefault="00125DD1" w:rsidP="00125DD1">
      <w:pPr>
        <w:pStyle w:val="Standard"/>
        <w:jc w:val="both"/>
        <w:rPr>
          <w:rFonts w:hint="eastAsia"/>
          <w:bCs/>
        </w:rPr>
      </w:pPr>
    </w:p>
    <w:p w14:paraId="37D98A98" w14:textId="37F6D956" w:rsidR="00F464AA" w:rsidRDefault="0009650F" w:rsidP="00125DD1">
      <w:pPr>
        <w:pStyle w:val="Standard"/>
        <w:jc w:val="both"/>
        <w:rPr>
          <w:rFonts w:hint="eastAsia"/>
          <w:bCs/>
        </w:rPr>
      </w:pPr>
      <w:r>
        <w:rPr>
          <w:bCs/>
        </w:rPr>
        <w:t>De plus, t</w:t>
      </w:r>
      <w:r w:rsidR="00F464AA">
        <w:rPr>
          <w:bCs/>
        </w:rPr>
        <w:t xml:space="preserve">rois nouvelles rames </w:t>
      </w:r>
      <w:proofErr w:type="spellStart"/>
      <w:r w:rsidR="00F464AA">
        <w:rPr>
          <w:bCs/>
        </w:rPr>
        <w:t>Régiolis</w:t>
      </w:r>
      <w:proofErr w:type="spellEnd"/>
      <w:r w:rsidR="00F464AA">
        <w:rPr>
          <w:bCs/>
        </w:rPr>
        <w:t xml:space="preserve"> </w:t>
      </w:r>
      <w:r>
        <w:rPr>
          <w:bCs/>
        </w:rPr>
        <w:t xml:space="preserve">qui </w:t>
      </w:r>
      <w:r w:rsidR="00F464AA">
        <w:rPr>
          <w:bCs/>
        </w:rPr>
        <w:t xml:space="preserve">circulent depuis février 2019 sur la ligne Bourges-Montluçon </w:t>
      </w:r>
      <w:r>
        <w:rPr>
          <w:bCs/>
        </w:rPr>
        <w:t xml:space="preserve">sont accessibles. </w:t>
      </w:r>
    </w:p>
    <w:p w14:paraId="28824B8F" w14:textId="77777777" w:rsidR="00F464AA" w:rsidRDefault="00F464AA" w:rsidP="00125DD1">
      <w:pPr>
        <w:pStyle w:val="Standard"/>
        <w:jc w:val="both"/>
        <w:rPr>
          <w:rFonts w:hint="eastAsia"/>
          <w:bCs/>
        </w:rPr>
      </w:pPr>
    </w:p>
    <w:p w14:paraId="7E81EB55" w14:textId="77777777" w:rsidR="00F464AA" w:rsidRDefault="00F464AA" w:rsidP="00125DD1">
      <w:pPr>
        <w:pStyle w:val="Standard"/>
        <w:jc w:val="both"/>
        <w:rPr>
          <w:rFonts w:hint="eastAsia"/>
          <w:bCs/>
        </w:rPr>
      </w:pPr>
    </w:p>
    <w:p w14:paraId="52D2D353" w14:textId="2F0306D7" w:rsidR="00125DD1" w:rsidRPr="000437EB" w:rsidRDefault="00125DD1" w:rsidP="00125DD1">
      <w:pPr>
        <w:pStyle w:val="Standard"/>
        <w:jc w:val="both"/>
        <w:rPr>
          <w:rFonts w:hint="eastAsia"/>
          <w:bCs/>
        </w:rPr>
      </w:pPr>
      <w:r>
        <w:rPr>
          <w:bCs/>
        </w:rPr>
        <w:t xml:space="preserve">Enfin, du matériel Corail sera partiellement et progressivement remplacé </w:t>
      </w:r>
      <w:r w:rsidR="00FA6542">
        <w:rPr>
          <w:bCs/>
        </w:rPr>
        <w:t xml:space="preserve">dès 2020 </w:t>
      </w:r>
      <w:r>
        <w:rPr>
          <w:bCs/>
        </w:rPr>
        <w:t xml:space="preserve">par des rames Regio2N sur les 3 lignes </w:t>
      </w:r>
      <w:r w:rsidR="00FA6542">
        <w:rPr>
          <w:bCs/>
        </w:rPr>
        <w:t xml:space="preserve">de train Rémi Express anciennement </w:t>
      </w:r>
      <w:proofErr w:type="gramStart"/>
      <w:r w:rsidR="00FA6542">
        <w:rPr>
          <w:bCs/>
        </w:rPr>
        <w:t xml:space="preserve">Intercités </w:t>
      </w:r>
      <w:r>
        <w:rPr>
          <w:bCs/>
        </w:rPr>
        <w:t xml:space="preserve"> (</w:t>
      </w:r>
      <w:proofErr w:type="gramEnd"/>
      <w:r>
        <w:rPr>
          <w:bCs/>
        </w:rPr>
        <w:t>Paris&gt;Orléans&gt;Tours, Paris&gt;Orléans&gt;Vierzon&gt;Bourges et Paris&gt;Nevers). 4 rames seront mises en circulation en 2020 et 28 rames en 2022. Les rames seront à 2 niveaux : 370 places 1</w:t>
      </w:r>
      <w:r w:rsidRPr="00125DD1">
        <w:rPr>
          <w:bCs/>
          <w:vertAlign w:val="superscript"/>
        </w:rPr>
        <w:t>er</w:t>
      </w:r>
      <w:r>
        <w:rPr>
          <w:bCs/>
        </w:rPr>
        <w:t xml:space="preserve"> et 2</w:t>
      </w:r>
      <w:r w:rsidRPr="00125DD1">
        <w:rPr>
          <w:bCs/>
          <w:vertAlign w:val="superscript"/>
        </w:rPr>
        <w:t>nd</w:t>
      </w:r>
      <w:r>
        <w:rPr>
          <w:bCs/>
        </w:rPr>
        <w:t xml:space="preserve"> dont 7 places prioritaires et une zone UFR de 2 places pour personnes en </w:t>
      </w:r>
      <w:r>
        <w:rPr>
          <w:bCs/>
        </w:rPr>
        <w:lastRenderedPageBreak/>
        <w:t xml:space="preserve">fauteuil et accompagnateurs. </w:t>
      </w:r>
    </w:p>
    <w:p w14:paraId="5250E0CA" w14:textId="77777777" w:rsidR="00D510EC" w:rsidRPr="000437EB" w:rsidRDefault="00D510EC">
      <w:pPr>
        <w:pStyle w:val="Standard"/>
        <w:rPr>
          <w:rFonts w:hint="eastAsia"/>
          <w:b/>
          <w:bCs/>
        </w:rPr>
      </w:pPr>
    </w:p>
    <w:p w14:paraId="24D727A7" w14:textId="356DC21F" w:rsidR="00F80346" w:rsidRDefault="00F0127D" w:rsidP="00D510EC">
      <w:pPr>
        <w:pStyle w:val="Standard"/>
        <w:numPr>
          <w:ilvl w:val="0"/>
          <w:numId w:val="6"/>
        </w:numPr>
        <w:rPr>
          <w:rFonts w:hint="eastAsia"/>
          <w:b/>
          <w:bCs/>
        </w:rPr>
      </w:pPr>
      <w:r>
        <w:rPr>
          <w:b/>
          <w:bCs/>
        </w:rPr>
        <w:t xml:space="preserve">Accessibilité du parc du matériel roulant routier et usages </w:t>
      </w:r>
    </w:p>
    <w:p w14:paraId="6D18EDC2" w14:textId="77777777" w:rsidR="00F80346" w:rsidRDefault="00F80346">
      <w:pPr>
        <w:pStyle w:val="Standard"/>
        <w:rPr>
          <w:rFonts w:hint="eastAsia"/>
        </w:rPr>
      </w:pPr>
    </w:p>
    <w:p w14:paraId="5CB8E529" w14:textId="738B950B" w:rsidR="00254A25" w:rsidRDefault="00254A25" w:rsidP="00254A25">
      <w:pPr>
        <w:pStyle w:val="Standard"/>
        <w:numPr>
          <w:ilvl w:val="0"/>
          <w:numId w:val="14"/>
        </w:numPr>
        <w:rPr>
          <w:rFonts w:hint="eastAsia"/>
        </w:rPr>
      </w:pPr>
      <w:r>
        <w:t>Les lignes routières ex-</w:t>
      </w:r>
      <w:r w:rsidR="00FA6542">
        <w:t>TER</w:t>
      </w:r>
    </w:p>
    <w:p w14:paraId="6DFE0B8F" w14:textId="77777777" w:rsidR="00254A25" w:rsidRDefault="00254A25" w:rsidP="00254A25">
      <w:pPr>
        <w:pStyle w:val="Standard"/>
        <w:rPr>
          <w:rFonts w:hint="eastAsia"/>
        </w:rPr>
      </w:pPr>
    </w:p>
    <w:p w14:paraId="357629C1" w14:textId="3C55816E" w:rsidR="00254A25" w:rsidRDefault="00DB2B2F" w:rsidP="005A25D8">
      <w:pPr>
        <w:pStyle w:val="Standard"/>
        <w:jc w:val="both"/>
        <w:rPr>
          <w:rFonts w:hint="eastAsia"/>
        </w:rPr>
      </w:pPr>
      <w:r>
        <w:t>L’ensemble des cars ou véhicule</w:t>
      </w:r>
      <w:r>
        <w:rPr>
          <w:rFonts w:hint="eastAsia"/>
        </w:rPr>
        <w:t>s</w:t>
      </w:r>
      <w:r>
        <w:t xml:space="preserve"> affectés aux lignes routières ex TER</w:t>
      </w:r>
      <w:r w:rsidR="00FA6542">
        <w:t>, organisées par la Région depuis 1997,</w:t>
      </w:r>
      <w:r>
        <w:t xml:space="preserve"> sont accessibles</w:t>
      </w:r>
      <w:r w:rsidR="00785E0B">
        <w:t xml:space="preserve"> sauf pour la ligne TAD T</w:t>
      </w:r>
      <w:r w:rsidR="00EC3CA7">
        <w:t>hésée</w:t>
      </w:r>
      <w:r w:rsidR="00FA6542">
        <w:t xml:space="preserve"> </w:t>
      </w:r>
      <w:r w:rsidR="00EC3CA7">
        <w:t>- St Aignan- Montrichard (la Région a reçu qu’une candidature pour ce marché, les véhicules affectés par le candidat ne sont pas aménagés spécifiquement pour accueillir des PMR</w:t>
      </w:r>
      <w:r w:rsidR="00A95DFC">
        <w:t>)</w:t>
      </w:r>
      <w:r w:rsidR="00EC3CA7">
        <w:t xml:space="preserve">. Cependant, le candidat a précisé qu’il prenait en charge des personnes se déplaçant en fauteuil roulant. La personne s’assoit avec l’aide du conducteur sur un des sièges du véhicule et le fauteuil est transporté dans le coffre. </w:t>
      </w:r>
    </w:p>
    <w:p w14:paraId="27D37E37" w14:textId="77777777" w:rsidR="005A25D8" w:rsidRDefault="005A25D8" w:rsidP="00254A25">
      <w:pPr>
        <w:pStyle w:val="Standard"/>
        <w:rPr>
          <w:rFonts w:hint="eastAsia"/>
        </w:rPr>
      </w:pPr>
    </w:p>
    <w:p w14:paraId="6C5CE6F9" w14:textId="1F2B8762" w:rsidR="00DB2B2F" w:rsidRDefault="00DB2B2F" w:rsidP="005A25D8">
      <w:pPr>
        <w:pStyle w:val="Standard"/>
        <w:jc w:val="both"/>
        <w:rPr>
          <w:rFonts w:hint="eastAsia"/>
        </w:rPr>
      </w:pPr>
      <w:r>
        <w:t xml:space="preserve">Nombre (même approximatif) de voyages réalisés sur le réseau de cars durant l’année par des personnes en fauteuil roulant : </w:t>
      </w:r>
    </w:p>
    <w:p w14:paraId="63F58A79" w14:textId="5DCE35EC" w:rsidR="00485198" w:rsidRDefault="00485198" w:rsidP="005A25D8">
      <w:pPr>
        <w:pStyle w:val="Standard"/>
        <w:jc w:val="both"/>
        <w:rPr>
          <w:rFonts w:hint="eastAsia"/>
        </w:rPr>
      </w:pPr>
    </w:p>
    <w:p w14:paraId="0DFEB214" w14:textId="77777777" w:rsidR="00FA6542" w:rsidRDefault="00485198" w:rsidP="005A25D8">
      <w:pPr>
        <w:pStyle w:val="Standard"/>
        <w:jc w:val="both"/>
        <w:rPr>
          <w:rFonts w:hint="eastAsia"/>
        </w:rPr>
      </w:pPr>
      <w:r>
        <w:t xml:space="preserve">Tours-Châteauroux (lot 1) : </w:t>
      </w:r>
      <w:r w:rsidR="0066638C">
        <w:t xml:space="preserve">entre 2016 et 2017, 1 voyage tous les deux mois. </w:t>
      </w:r>
    </w:p>
    <w:p w14:paraId="4AF78323" w14:textId="37533400" w:rsidR="00485198" w:rsidRDefault="0066638C" w:rsidP="005A25D8">
      <w:pPr>
        <w:pStyle w:val="Standard"/>
        <w:jc w:val="both"/>
        <w:rPr>
          <w:rFonts w:hint="eastAsia"/>
        </w:rPr>
      </w:pPr>
      <w:r>
        <w:t xml:space="preserve">En 2018 : 1 voyage tous les mois qui concerne une même personne qui emprunte à cette fréquence la ligne. </w:t>
      </w:r>
    </w:p>
    <w:p w14:paraId="5A59F1DA" w14:textId="5429FC9D" w:rsidR="00DB2B2F" w:rsidRDefault="00DB2B2F" w:rsidP="00254A25">
      <w:pPr>
        <w:pStyle w:val="Standard"/>
        <w:rPr>
          <w:rFonts w:hint="eastAsia"/>
        </w:rPr>
      </w:pPr>
    </w:p>
    <w:p w14:paraId="4421018F" w14:textId="3C78CBB4" w:rsidR="005F5C03" w:rsidRDefault="005F5C03" w:rsidP="00DB2B2F">
      <w:pPr>
        <w:pStyle w:val="Standard"/>
        <w:jc w:val="both"/>
        <w:rPr>
          <w:rFonts w:hint="eastAsia"/>
        </w:rPr>
      </w:pPr>
      <w:r>
        <w:t xml:space="preserve">Mondoubleau-Vendôme (lot 2) ; Château-Renault – Vendôme ; Blois – Limeray (lot 2) : depuis 2017 aucune prise en charge a été enregistrée. </w:t>
      </w:r>
    </w:p>
    <w:p w14:paraId="012B850C" w14:textId="7D9BC9DD" w:rsidR="00101A99" w:rsidRDefault="00101A99" w:rsidP="00DB2B2F">
      <w:pPr>
        <w:pStyle w:val="Standard"/>
        <w:jc w:val="both"/>
        <w:rPr>
          <w:rFonts w:hint="eastAsia"/>
        </w:rPr>
      </w:pPr>
    </w:p>
    <w:p w14:paraId="5C9C1F71" w14:textId="28B463B5" w:rsidR="00101A99" w:rsidRDefault="00101A99" w:rsidP="00DB2B2F">
      <w:pPr>
        <w:pStyle w:val="Standard"/>
        <w:jc w:val="both"/>
        <w:rPr>
          <w:rFonts w:hint="eastAsia"/>
        </w:rPr>
      </w:pPr>
      <w:r w:rsidRPr="00101A99">
        <w:t xml:space="preserve">Montargis – Gien (lot 4) ; Aubigny – Gien (Lot 4) :  </w:t>
      </w:r>
      <w:r w:rsidR="00FA6542">
        <w:t>aucune prise en charge a été enregistrée</w:t>
      </w:r>
      <w:r>
        <w:t xml:space="preserve">. </w:t>
      </w:r>
    </w:p>
    <w:p w14:paraId="67D22391" w14:textId="03AB5F26" w:rsidR="00FC38E7" w:rsidRDefault="00FC38E7" w:rsidP="00DB2B2F">
      <w:pPr>
        <w:pStyle w:val="Standard"/>
        <w:jc w:val="both"/>
        <w:rPr>
          <w:rFonts w:hint="eastAsia"/>
        </w:rPr>
      </w:pPr>
    </w:p>
    <w:p w14:paraId="606DF6BD" w14:textId="6E810142" w:rsidR="00FC38E7" w:rsidRDefault="00FC38E7" w:rsidP="00DB2B2F">
      <w:pPr>
        <w:pStyle w:val="Standard"/>
        <w:jc w:val="both"/>
        <w:rPr>
          <w:rFonts w:hint="eastAsia"/>
        </w:rPr>
      </w:pPr>
      <w:r w:rsidRPr="00D33033">
        <w:t xml:space="preserve">Nouan-le-Fuzelier – Romorantin-Lanthenay (lot 6) ; Thésée – Romorantin-Lanthenay (lot 6) ; Romorantin – Vierzon (Lot 6) : </w:t>
      </w:r>
      <w:r w:rsidR="00FA6542">
        <w:t>aucune prise en charge a été enregistrée</w:t>
      </w:r>
      <w:r w:rsidR="00FA6542" w:rsidRPr="00D33033" w:rsidDel="00FA6542">
        <w:t xml:space="preserve"> </w:t>
      </w:r>
      <w:r>
        <w:t xml:space="preserve">pour les années 2016, 2017 et 2018. </w:t>
      </w:r>
    </w:p>
    <w:p w14:paraId="2A7886D6" w14:textId="6CD9813A" w:rsidR="00A95DFC" w:rsidRDefault="00A95DFC" w:rsidP="00DB2B2F">
      <w:pPr>
        <w:pStyle w:val="Standard"/>
        <w:jc w:val="both"/>
        <w:rPr>
          <w:rFonts w:hint="eastAsia"/>
        </w:rPr>
      </w:pPr>
    </w:p>
    <w:p w14:paraId="6F3F84D4" w14:textId="45CADECB" w:rsidR="00A95DFC" w:rsidRPr="00101A99" w:rsidRDefault="00A95DFC" w:rsidP="00DB2B2F">
      <w:pPr>
        <w:pStyle w:val="Standard"/>
        <w:jc w:val="both"/>
        <w:rPr>
          <w:rFonts w:hint="eastAsia"/>
        </w:rPr>
      </w:pPr>
      <w:r>
        <w:t xml:space="preserve">Argenton – Châteauroux (lot 7) – Châteauroux – Poitiers (lot 7) : </w:t>
      </w:r>
      <w:r w:rsidR="00F80464">
        <w:t xml:space="preserve">aucune prise en charge ne nous est remontée du transporteur. </w:t>
      </w:r>
    </w:p>
    <w:p w14:paraId="29ACD597" w14:textId="23D60A9F" w:rsidR="005F5C03" w:rsidRDefault="005F5C03" w:rsidP="00DB2B2F">
      <w:pPr>
        <w:pStyle w:val="Standard"/>
        <w:jc w:val="both"/>
        <w:rPr>
          <w:rFonts w:hint="eastAsia"/>
        </w:rPr>
      </w:pPr>
    </w:p>
    <w:p w14:paraId="65624C4D" w14:textId="00ABFCBF" w:rsidR="00D520E4" w:rsidRDefault="00D520E4" w:rsidP="00DB2B2F">
      <w:pPr>
        <w:pStyle w:val="Standard"/>
        <w:jc w:val="both"/>
        <w:rPr>
          <w:rFonts w:hint="eastAsia"/>
        </w:rPr>
      </w:pPr>
      <w:r>
        <w:t>Tours – Chinon</w:t>
      </w:r>
      <w:r w:rsidR="00FA6542">
        <w:t xml:space="preserve">, Tours – Château du </w:t>
      </w:r>
      <w:proofErr w:type="gramStart"/>
      <w:r w:rsidR="00FA6542">
        <w:t>Loir </w:t>
      </w:r>
      <w:r>
        <w:t xml:space="preserve"> (</w:t>
      </w:r>
      <w:proofErr w:type="gramEnd"/>
      <w:r>
        <w:t xml:space="preserve">lot 8) : une cinquantaine de personnes en fauteuil roulant </w:t>
      </w:r>
      <w:r w:rsidR="00FA6542">
        <w:t xml:space="preserve">par an </w:t>
      </w:r>
      <w:r>
        <w:t>voyagent sur la ligne Tours-Chinon (soit en moyenne une personne par semaine). Tous les départs s’effectuent de Chinon (Institut du Mai) et</w:t>
      </w:r>
      <w:r w:rsidR="00FA6542">
        <w:t>,</w:t>
      </w:r>
      <w:r>
        <w:t xml:space="preserve"> en très grande majorité les clients descendent à la gare de </w:t>
      </w:r>
      <w:proofErr w:type="gramStart"/>
      <w:r w:rsidR="00FA6542">
        <w:t xml:space="preserve">Tours </w:t>
      </w:r>
      <w:r>
        <w:t>.</w:t>
      </w:r>
      <w:proofErr w:type="gramEnd"/>
      <w:r>
        <w:t xml:space="preserve"> Aucun retour n’est </w:t>
      </w:r>
      <w:r w:rsidR="00FA6542">
        <w:t>sollicité</w:t>
      </w:r>
      <w:r>
        <w:t xml:space="preserve">. </w:t>
      </w:r>
      <w:r w:rsidR="00FA6542">
        <w:t>Sur l</w:t>
      </w:r>
      <w:r>
        <w:t>a ligne Tours – Château du Loir</w:t>
      </w:r>
      <w:r w:rsidR="00FA6542">
        <w:t>, aucune prise en charge a été enregistrée.</w:t>
      </w:r>
    </w:p>
    <w:p w14:paraId="4F23B488" w14:textId="77777777" w:rsidR="00D520E4" w:rsidRPr="00101A99" w:rsidRDefault="00D520E4" w:rsidP="00DB2B2F">
      <w:pPr>
        <w:pStyle w:val="Standard"/>
        <w:jc w:val="both"/>
        <w:rPr>
          <w:rFonts w:hint="eastAsia"/>
        </w:rPr>
      </w:pPr>
    </w:p>
    <w:p w14:paraId="69CCEF6B" w14:textId="6CFD3F9F" w:rsidR="00DB2B2F" w:rsidRDefault="00DB2B2F" w:rsidP="00DB2B2F">
      <w:pPr>
        <w:pStyle w:val="Standard"/>
        <w:jc w:val="both"/>
        <w:rPr>
          <w:rFonts w:hint="eastAsia"/>
        </w:rPr>
      </w:pPr>
      <w:r>
        <w:t>Sancerre – Cosne (lot 9) : deux personnes en situation de handicap nécessitant l’utilisation de la plateforme élévatrice ont été pris</w:t>
      </w:r>
      <w:r w:rsidR="00FA6542">
        <w:t>es</w:t>
      </w:r>
      <w:r>
        <w:t xml:space="preserve"> en</w:t>
      </w:r>
      <w:r w:rsidR="005A25D8">
        <w:t xml:space="preserve"> charge </w:t>
      </w:r>
      <w:r w:rsidR="00FA6542">
        <w:t xml:space="preserve">en 2018 </w:t>
      </w:r>
      <w:r w:rsidR="005A25D8">
        <w:t>sur 2 voyages distinct</w:t>
      </w:r>
      <w:r w:rsidR="00FA6542">
        <w:t>s</w:t>
      </w:r>
      <w:r w:rsidR="005A25D8">
        <w:t>.</w:t>
      </w:r>
    </w:p>
    <w:p w14:paraId="0CC98B0F" w14:textId="2AE87F30" w:rsidR="00D520E4" w:rsidRDefault="00D520E4" w:rsidP="00DB2B2F">
      <w:pPr>
        <w:pStyle w:val="Standard"/>
        <w:jc w:val="both"/>
        <w:rPr>
          <w:rFonts w:hint="eastAsia"/>
        </w:rPr>
      </w:pPr>
    </w:p>
    <w:p w14:paraId="34642BE1" w14:textId="772D36DB" w:rsidR="00D520E4" w:rsidRDefault="00D520E4" w:rsidP="00DB2B2F">
      <w:pPr>
        <w:pStyle w:val="Standard"/>
        <w:jc w:val="both"/>
        <w:rPr>
          <w:rFonts w:hint="eastAsia"/>
        </w:rPr>
      </w:pPr>
      <w:r>
        <w:t xml:space="preserve">Tours – Fleury-les-Aubrais (lot 10) : </w:t>
      </w:r>
      <w:r w:rsidR="00FA6542">
        <w:t>aucune prise en charge a été enregistrée.</w:t>
      </w:r>
    </w:p>
    <w:p w14:paraId="7D489A36" w14:textId="655103AD" w:rsidR="00EC3CA7" w:rsidRDefault="00EC3CA7" w:rsidP="00DB2B2F">
      <w:pPr>
        <w:pStyle w:val="Standard"/>
        <w:jc w:val="both"/>
        <w:rPr>
          <w:rFonts w:hint="eastAsia"/>
        </w:rPr>
      </w:pPr>
    </w:p>
    <w:p w14:paraId="58BF1E5D" w14:textId="03581301" w:rsidR="005F5C03" w:rsidRDefault="00EC3CA7" w:rsidP="00DB2B2F">
      <w:pPr>
        <w:pStyle w:val="Standard"/>
        <w:jc w:val="both"/>
        <w:rPr>
          <w:rFonts w:hint="eastAsia"/>
        </w:rPr>
      </w:pPr>
      <w:r>
        <w:t>Thésée</w:t>
      </w:r>
      <w:r w:rsidR="005F5C03">
        <w:t xml:space="preserve"> </w:t>
      </w:r>
      <w:r>
        <w:t xml:space="preserve">- St Aignan- Montrichard (TAD) : </w:t>
      </w:r>
      <w:r w:rsidR="00FA6542">
        <w:t>aucune prise en charge a été enregistrée.</w:t>
      </w:r>
    </w:p>
    <w:p w14:paraId="41C511D3" w14:textId="40499B87" w:rsidR="00A95DFC" w:rsidRDefault="00A95DFC" w:rsidP="00DB2B2F">
      <w:pPr>
        <w:pStyle w:val="Standard"/>
        <w:jc w:val="both"/>
        <w:rPr>
          <w:rFonts w:hint="eastAsia"/>
        </w:rPr>
      </w:pPr>
    </w:p>
    <w:p w14:paraId="62E055A5" w14:textId="2AABE4BC" w:rsidR="00A95DFC" w:rsidRPr="00A95DFC" w:rsidRDefault="00A95DFC" w:rsidP="00DB2B2F">
      <w:pPr>
        <w:pStyle w:val="Standard"/>
        <w:jc w:val="both"/>
        <w:rPr>
          <w:rFonts w:hint="eastAsia"/>
        </w:rPr>
      </w:pPr>
      <w:r w:rsidRPr="00A95DFC">
        <w:t xml:space="preserve">Bonny – Briare (TAD) : </w:t>
      </w:r>
      <w:r w:rsidR="00F80464">
        <w:t>aucune prise en charge ne nous est remontée du transporteur.</w:t>
      </w:r>
      <w:r w:rsidR="00F80464" w:rsidRPr="00BF0874" w:rsidDel="00F80464">
        <w:t xml:space="preserve"> </w:t>
      </w:r>
    </w:p>
    <w:p w14:paraId="60291AB2" w14:textId="77777777" w:rsidR="00254A25" w:rsidRPr="00A95DFC" w:rsidRDefault="00254A25" w:rsidP="00F80464">
      <w:pPr>
        <w:pStyle w:val="Standard"/>
        <w:jc w:val="both"/>
        <w:rPr>
          <w:rFonts w:hint="eastAsia"/>
        </w:rPr>
      </w:pPr>
    </w:p>
    <w:p w14:paraId="77B0D517" w14:textId="22FE537D" w:rsidR="00DB2B2F" w:rsidRPr="00DB2B2F" w:rsidRDefault="00254A25" w:rsidP="00DB2B2F">
      <w:pPr>
        <w:pStyle w:val="Standard"/>
        <w:numPr>
          <w:ilvl w:val="0"/>
          <w:numId w:val="14"/>
        </w:numPr>
        <w:rPr>
          <w:rFonts w:hint="eastAsia"/>
          <w:i/>
          <w:iCs/>
        </w:rPr>
      </w:pPr>
      <w:r>
        <w:t>Les lignes</w:t>
      </w:r>
      <w:r w:rsidR="00DB2B2F">
        <w:t xml:space="preserve"> interurbaine</w:t>
      </w:r>
      <w:r w:rsidR="00DB2B2F">
        <w:rPr>
          <w:rFonts w:hint="eastAsia"/>
        </w:rPr>
        <w:t>s</w:t>
      </w:r>
      <w:r w:rsidR="005F6EE2">
        <w:t xml:space="preserve"> </w:t>
      </w:r>
    </w:p>
    <w:p w14:paraId="14D2A8FC" w14:textId="77777777" w:rsidR="00DB2B2F" w:rsidRDefault="00DB2B2F" w:rsidP="00DB2B2F">
      <w:pPr>
        <w:pStyle w:val="Standard"/>
        <w:rPr>
          <w:rFonts w:hint="eastAsia"/>
        </w:rPr>
      </w:pPr>
    </w:p>
    <w:p w14:paraId="3CAB6C57" w14:textId="7A6A4E04" w:rsidR="005B4CC7" w:rsidRPr="00264B96" w:rsidRDefault="006C74C9" w:rsidP="00DB2B2F">
      <w:pPr>
        <w:pStyle w:val="Standard"/>
        <w:rPr>
          <w:rFonts w:hint="eastAsia"/>
        </w:rPr>
      </w:pPr>
      <w:r w:rsidRPr="00264B96">
        <w:rPr>
          <w:highlight w:val="green"/>
        </w:rPr>
        <w:t>Se référer à l’a</w:t>
      </w:r>
      <w:r w:rsidR="008F4FFF" w:rsidRPr="00264B96">
        <w:rPr>
          <w:highlight w:val="green"/>
        </w:rPr>
        <w:t xml:space="preserve">nnexe </w:t>
      </w:r>
      <w:r w:rsidR="0002378C" w:rsidRPr="00264B96">
        <w:rPr>
          <w:highlight w:val="green"/>
        </w:rPr>
        <w:t>10</w:t>
      </w:r>
    </w:p>
    <w:p w14:paraId="1CB680FA" w14:textId="77777777" w:rsidR="000E1A2F" w:rsidRDefault="000E1A2F">
      <w:pPr>
        <w:pStyle w:val="Standard"/>
        <w:rPr>
          <w:rFonts w:hint="eastAsia"/>
          <w:b/>
          <w:bCs/>
        </w:rPr>
      </w:pPr>
    </w:p>
    <w:p w14:paraId="2429A534" w14:textId="445C1C4D" w:rsidR="00F80346" w:rsidRDefault="00520CF5">
      <w:pPr>
        <w:pStyle w:val="Standard"/>
        <w:rPr>
          <w:rFonts w:hint="eastAsia"/>
          <w:b/>
          <w:bCs/>
        </w:rPr>
      </w:pPr>
      <w:r>
        <w:rPr>
          <w:b/>
          <w:bCs/>
        </w:rPr>
        <w:lastRenderedPageBreak/>
        <w:t>12</w:t>
      </w:r>
      <w:r w:rsidR="00F0127D">
        <w:rPr>
          <w:b/>
          <w:bCs/>
        </w:rPr>
        <w:t xml:space="preserve"> – Actions en faveur de l’information voyageurs</w:t>
      </w:r>
    </w:p>
    <w:p w14:paraId="6CB37B6D" w14:textId="77777777" w:rsidR="00F80346" w:rsidRDefault="00F80346">
      <w:pPr>
        <w:pStyle w:val="Standard"/>
        <w:jc w:val="both"/>
        <w:rPr>
          <w:rFonts w:hint="eastAsia"/>
          <w:i/>
          <w:iCs/>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F80346" w14:paraId="6F59FC26"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3C930600" w14:textId="77777777" w:rsidR="00F80346" w:rsidRDefault="00F0127D">
            <w:pPr>
              <w:pStyle w:val="Standard"/>
              <w:jc w:val="both"/>
              <w:rPr>
                <w:rFonts w:hint="eastAsia"/>
                <w:i/>
                <w:iCs/>
              </w:rPr>
            </w:pPr>
            <w:r>
              <w:rPr>
                <w:i/>
                <w:iCs/>
              </w:rPr>
              <w:t>NB : Ce volet, élément essentiel pour l’amélioration de la qualité de service, fait l’objet d’une attention particulière. Au terme du SD’AP, une sanction pourra être notifiée si les engagements pris en matière d’informations aux voyageurs n’ont pas été mis en œuvre (article L1112-2-4 – III).</w:t>
            </w:r>
          </w:p>
        </w:tc>
      </w:tr>
    </w:tbl>
    <w:p w14:paraId="14CEE8E4" w14:textId="77777777" w:rsidR="00F80346" w:rsidRDefault="00F80346">
      <w:pPr>
        <w:pStyle w:val="Standard"/>
        <w:rPr>
          <w:rFonts w:hint="eastAsia"/>
        </w:rPr>
      </w:pPr>
    </w:p>
    <w:p w14:paraId="60C93AE8" w14:textId="640E4ED9" w:rsidR="00F80346" w:rsidRDefault="00F0127D" w:rsidP="004E3422">
      <w:pPr>
        <w:pStyle w:val="Standard"/>
        <w:jc w:val="both"/>
        <w:rPr>
          <w:rFonts w:hint="eastAsia"/>
        </w:rPr>
      </w:pPr>
      <w:r>
        <w:t>L’information sur l’accessibilité du réseau (arrêts accessibles, services disponibles…) est disponible via les nouvelles technologies :</w:t>
      </w:r>
      <w:r w:rsidR="00A96AD1">
        <w:t xml:space="preserve"> </w:t>
      </w:r>
      <w:r w:rsidR="00702E3D">
        <w:t xml:space="preserve"> </w:t>
      </w:r>
    </w:p>
    <w:p w14:paraId="64E0F60C" w14:textId="3907944E" w:rsidR="00F80346" w:rsidRDefault="00F80346">
      <w:pPr>
        <w:pStyle w:val="Standard"/>
        <w:rPr>
          <w:rFonts w:hint="eastAsia"/>
        </w:rPr>
      </w:pPr>
    </w:p>
    <w:p w14:paraId="6BC26B9C" w14:textId="1CA73ADB" w:rsidR="00267004" w:rsidRDefault="00267004" w:rsidP="004E3422">
      <w:pPr>
        <w:pStyle w:val="Standard"/>
        <w:jc w:val="both"/>
        <w:rPr>
          <w:rFonts w:hint="eastAsia"/>
        </w:rPr>
      </w:pPr>
    </w:p>
    <w:p w14:paraId="5689AEB6" w14:textId="12FF2FB6" w:rsidR="00267004" w:rsidRDefault="000D2EF3" w:rsidP="004E3422">
      <w:pPr>
        <w:pStyle w:val="Standard"/>
        <w:jc w:val="both"/>
        <w:rPr>
          <w:rFonts w:hint="eastAsia"/>
        </w:rPr>
      </w:pPr>
      <w:r>
        <w:t xml:space="preserve">L’information du trafic et du service de prise en charge est </w:t>
      </w:r>
      <w:proofErr w:type="gramStart"/>
      <w:r>
        <w:t>disponible  :</w:t>
      </w:r>
      <w:proofErr w:type="gramEnd"/>
      <w:r>
        <w:t xml:space="preserve"> </w:t>
      </w:r>
    </w:p>
    <w:p w14:paraId="32CA2513" w14:textId="0FFD107D" w:rsidR="000D2EF3" w:rsidRDefault="000D2EF3" w:rsidP="004E3422">
      <w:pPr>
        <w:pStyle w:val="Standard"/>
        <w:jc w:val="both"/>
        <w:rPr>
          <w:rFonts w:hint="eastAsia"/>
        </w:rPr>
      </w:pPr>
    </w:p>
    <w:p w14:paraId="6AF558D6" w14:textId="7BEAB815" w:rsidR="00FA6542" w:rsidRDefault="00FA6542" w:rsidP="00FA6542">
      <w:pPr>
        <w:pStyle w:val="Standard"/>
        <w:numPr>
          <w:ilvl w:val="0"/>
          <w:numId w:val="10"/>
        </w:numPr>
        <w:jc w:val="both"/>
        <w:rPr>
          <w:rFonts w:hint="eastAsia"/>
        </w:rPr>
      </w:pPr>
      <w:r>
        <w:rPr>
          <w:rFonts w:hint="eastAsia"/>
        </w:rPr>
        <w:t>P</w:t>
      </w:r>
      <w:r>
        <w:t xml:space="preserve">ar internet, sur le site </w:t>
      </w:r>
      <w:hyperlink r:id="rId11" w:history="1">
        <w:r w:rsidRPr="00596FCD">
          <w:rPr>
            <w:rStyle w:val="Lienhypertexte"/>
          </w:rPr>
          <w:t>www.remi-centrevaldeloire.fr</w:t>
        </w:r>
      </w:hyperlink>
      <w:r w:rsidR="00936172">
        <w:t>, avec les modalités d’usage, et la liste des équipements accessibles disponibles en gare pour les trains Rémi</w:t>
      </w:r>
    </w:p>
    <w:p w14:paraId="5D2F894D" w14:textId="77777777" w:rsidR="00936172" w:rsidRDefault="00936172" w:rsidP="00FA6542">
      <w:pPr>
        <w:pStyle w:val="Standard"/>
        <w:numPr>
          <w:ilvl w:val="0"/>
          <w:numId w:val="10"/>
        </w:numPr>
        <w:jc w:val="both"/>
        <w:rPr>
          <w:rFonts w:hint="eastAsia"/>
        </w:rPr>
      </w:pPr>
      <w:r>
        <w:t>Pour les trains Rémi, sur l’application SNCF avec la mention mon assistant visuel (des adaptations pour une information plus fiables encore)</w:t>
      </w:r>
    </w:p>
    <w:p w14:paraId="629A8CC7" w14:textId="66762327" w:rsidR="00FA6542" w:rsidRDefault="00FA6542" w:rsidP="00FA6542">
      <w:pPr>
        <w:pStyle w:val="Standard"/>
        <w:numPr>
          <w:ilvl w:val="0"/>
          <w:numId w:val="10"/>
        </w:numPr>
        <w:jc w:val="both"/>
        <w:rPr>
          <w:rFonts w:hint="eastAsia"/>
        </w:rPr>
      </w:pPr>
      <w:r>
        <w:t>Par téléphone, auprès du Centre Relation Client Accès Rémi pour les trains, et des plateformes téléphonique de chacun des réseaux de car Rémi</w:t>
      </w:r>
    </w:p>
    <w:p w14:paraId="44731F79" w14:textId="2C70EDC9" w:rsidR="000D2EF3" w:rsidRDefault="00936172" w:rsidP="004E3422">
      <w:pPr>
        <w:pStyle w:val="Standard"/>
        <w:numPr>
          <w:ilvl w:val="0"/>
          <w:numId w:val="10"/>
        </w:numPr>
        <w:jc w:val="both"/>
        <w:rPr>
          <w:rFonts w:hint="eastAsia"/>
        </w:rPr>
      </w:pPr>
      <w:r>
        <w:t xml:space="preserve">Sur des </w:t>
      </w:r>
      <w:r w:rsidR="000D2EF3">
        <w:t>flyers Accès Rémi</w:t>
      </w:r>
      <w:r>
        <w:t>,</w:t>
      </w:r>
      <w:r w:rsidR="000D2EF3">
        <w:t xml:space="preserve"> disponibles en gare</w:t>
      </w:r>
      <w:r>
        <w:t xml:space="preserve"> ou dans les espaces Rémi, traitant à la fois des trains et des cars Rémi</w:t>
      </w:r>
      <w:r w:rsidR="000D2EF3">
        <w:t xml:space="preserve"> </w:t>
      </w:r>
    </w:p>
    <w:p w14:paraId="4D8E618C" w14:textId="7F640564" w:rsidR="00936172" w:rsidRDefault="00936172" w:rsidP="00936172">
      <w:pPr>
        <w:pStyle w:val="Standard"/>
        <w:numPr>
          <w:ilvl w:val="0"/>
          <w:numId w:val="10"/>
        </w:numPr>
        <w:jc w:val="both"/>
        <w:rPr>
          <w:rFonts w:hint="eastAsia"/>
        </w:rPr>
      </w:pPr>
      <w:r>
        <w:t>Sur place, auprès du personnel en gare ou en gare routière, et sur le registre d’accessibilité</w:t>
      </w:r>
    </w:p>
    <w:p w14:paraId="314BDA05" w14:textId="12666C33" w:rsidR="000D2EF3" w:rsidRDefault="000D2EF3" w:rsidP="004E3422">
      <w:pPr>
        <w:pStyle w:val="Standard"/>
        <w:numPr>
          <w:ilvl w:val="0"/>
          <w:numId w:val="10"/>
        </w:numPr>
        <w:jc w:val="both"/>
        <w:rPr>
          <w:rFonts w:hint="eastAsia"/>
        </w:rPr>
      </w:pPr>
      <w:r>
        <w:t>En situation perturbée, des systèmes d’alertes SMS et des mails sont envoyés aux abonnés</w:t>
      </w:r>
      <w:r w:rsidR="00936172">
        <w:t xml:space="preserve"> des trains Rémi</w:t>
      </w:r>
      <w:r>
        <w:t xml:space="preserve"> </w:t>
      </w:r>
    </w:p>
    <w:p w14:paraId="7F5C743F" w14:textId="77777777" w:rsidR="001E52F7" w:rsidRDefault="001E52F7">
      <w:pPr>
        <w:pStyle w:val="Standard"/>
        <w:rPr>
          <w:rFonts w:hint="eastAsia"/>
        </w:rPr>
      </w:pPr>
    </w:p>
    <w:p w14:paraId="5467906A" w14:textId="0D9BBB96" w:rsidR="00A96AD1" w:rsidRPr="0002378C" w:rsidRDefault="001E52F7" w:rsidP="004E3422">
      <w:pPr>
        <w:pStyle w:val="Standard"/>
        <w:jc w:val="both"/>
        <w:rPr>
          <w:rFonts w:hint="eastAsia"/>
        </w:rPr>
      </w:pPr>
      <w:r>
        <w:t>Sur les points d’arrêt routiers</w:t>
      </w:r>
      <w:r w:rsidR="0002378C">
        <w:t> :</w:t>
      </w:r>
      <w:r>
        <w:t> </w:t>
      </w:r>
      <w:r w:rsidR="00651D8C" w:rsidRPr="00651D8C">
        <w:rPr>
          <w:highlight w:val="green"/>
        </w:rPr>
        <w:t xml:space="preserve">se référer à l’annexe </w:t>
      </w:r>
      <w:r w:rsidR="007461A0">
        <w:rPr>
          <w:highlight w:val="green"/>
        </w:rPr>
        <w:t>1</w:t>
      </w:r>
      <w:r w:rsidR="0002378C">
        <w:rPr>
          <w:highlight w:val="green"/>
        </w:rPr>
        <w:t>1</w:t>
      </w:r>
    </w:p>
    <w:p w14:paraId="629B6AA8" w14:textId="7F5796E1" w:rsidR="003F4675" w:rsidRDefault="003F4675" w:rsidP="004E3422">
      <w:pPr>
        <w:pStyle w:val="Standard"/>
        <w:jc w:val="both"/>
        <w:rPr>
          <w:rFonts w:hint="eastAsia"/>
        </w:rPr>
      </w:pPr>
    </w:p>
    <w:p w14:paraId="09D5E467" w14:textId="77777777" w:rsidR="00936172" w:rsidRDefault="003F4675" w:rsidP="004E3422">
      <w:pPr>
        <w:pStyle w:val="Standard"/>
        <w:jc w:val="both"/>
        <w:rPr>
          <w:rFonts w:hint="eastAsia"/>
        </w:rPr>
      </w:pPr>
      <w:r>
        <w:t>À la su</w:t>
      </w:r>
      <w:r>
        <w:rPr>
          <w:rFonts w:hint="eastAsia"/>
        </w:rPr>
        <w:t>ite de</w:t>
      </w:r>
      <w:r>
        <w:t xml:space="preserve"> la réunion du 24 octobre</w:t>
      </w:r>
      <w:r w:rsidR="00936172">
        <w:t xml:space="preserve"> 2019</w:t>
      </w:r>
      <w:r>
        <w:t xml:space="preserve"> avec les association</w:t>
      </w:r>
      <w:r>
        <w:rPr>
          <w:rFonts w:hint="eastAsia"/>
        </w:rPr>
        <w:t>s</w:t>
      </w:r>
      <w:r>
        <w:t xml:space="preserve"> représentants les personnes en situation de handicap</w:t>
      </w:r>
      <w:r w:rsidR="00936172">
        <w:t xml:space="preserve">, des compléments et améliorations sont envisagées. </w:t>
      </w:r>
    </w:p>
    <w:p w14:paraId="5E442C80" w14:textId="7605D343" w:rsidR="003F4675" w:rsidRDefault="003F4675" w:rsidP="004E3422">
      <w:pPr>
        <w:pStyle w:val="Standard"/>
        <w:jc w:val="both"/>
        <w:rPr>
          <w:rFonts w:hint="eastAsia"/>
        </w:rPr>
      </w:pPr>
      <w:r>
        <w:t xml:space="preserve">: </w:t>
      </w:r>
    </w:p>
    <w:p w14:paraId="0862FA52" w14:textId="564EAA86" w:rsidR="0066638C" w:rsidRDefault="0066638C">
      <w:pPr>
        <w:pStyle w:val="Standard"/>
        <w:rPr>
          <w:rFonts w:hint="eastAsia"/>
        </w:rPr>
      </w:pPr>
    </w:p>
    <w:p w14:paraId="22F0AF06" w14:textId="77777777" w:rsidR="00936172" w:rsidRDefault="00936172">
      <w:pPr>
        <w:pStyle w:val="Standard"/>
        <w:rPr>
          <w:rFonts w:hint="eastAsia"/>
        </w:rPr>
      </w:pPr>
    </w:p>
    <w:p w14:paraId="2BA352D0" w14:textId="4DB3216C" w:rsidR="00F80346" w:rsidRDefault="00520CF5">
      <w:pPr>
        <w:pStyle w:val="Standard"/>
        <w:rPr>
          <w:rFonts w:hint="eastAsia"/>
          <w:b/>
          <w:bCs/>
        </w:rPr>
      </w:pPr>
      <w:r>
        <w:rPr>
          <w:b/>
          <w:bCs/>
        </w:rPr>
        <w:t>13</w:t>
      </w:r>
      <w:r w:rsidR="00F0127D">
        <w:rPr>
          <w:b/>
          <w:bCs/>
        </w:rPr>
        <w:t xml:space="preserve"> – Etat d’avancement de la formation du personnel en contact avec les voyageurs</w:t>
      </w:r>
    </w:p>
    <w:p w14:paraId="33ACC211" w14:textId="77777777" w:rsidR="00F80346" w:rsidRDefault="00F80346">
      <w:pPr>
        <w:pStyle w:val="Standard"/>
        <w:rPr>
          <w:rFonts w:hint="eastAsia"/>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F80346" w14:paraId="1185CF36" w14:textId="77777777">
        <w:tc>
          <w:tcPr>
            <w:tcW w:w="963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59DCB1D" w14:textId="77777777" w:rsidR="00F80346" w:rsidRDefault="00F0127D">
            <w:pPr>
              <w:pStyle w:val="Standard"/>
              <w:jc w:val="both"/>
              <w:rPr>
                <w:rFonts w:hint="eastAsia"/>
                <w:i/>
                <w:iCs/>
              </w:rPr>
            </w:pPr>
            <w:r>
              <w:rPr>
                <w:i/>
                <w:iCs/>
              </w:rPr>
              <w:t>NB : Ce volet, élément essentiel pour l’amélioration de la qualité de service, fait l’objet d’une attention particulière. Au terme du SD’AP, une sanction pourra être notifiée si les engagements pris en matière d’informations aux voyageurs n’ont pas été mis en œuvre (article L1112-2-4 – III).</w:t>
            </w:r>
          </w:p>
        </w:tc>
      </w:tr>
    </w:tbl>
    <w:p w14:paraId="51EE0A87" w14:textId="55E0A587" w:rsidR="00520CF5" w:rsidRDefault="00520CF5">
      <w:pPr>
        <w:pStyle w:val="Standard"/>
        <w:rPr>
          <w:rFonts w:hint="eastAsia"/>
          <w:b/>
          <w:bCs/>
        </w:rPr>
      </w:pPr>
    </w:p>
    <w:p w14:paraId="47950BDA" w14:textId="0AB86132" w:rsidR="00520CF5" w:rsidRDefault="00520CF5" w:rsidP="00520CF5">
      <w:pPr>
        <w:pStyle w:val="Standard"/>
        <w:numPr>
          <w:ilvl w:val="0"/>
          <w:numId w:val="7"/>
        </w:numPr>
        <w:rPr>
          <w:rFonts w:hint="eastAsia"/>
          <w:b/>
          <w:bCs/>
        </w:rPr>
      </w:pPr>
      <w:r>
        <w:rPr>
          <w:b/>
          <w:bCs/>
        </w:rPr>
        <w:t>Formation du personnel du réseau ferré</w:t>
      </w:r>
    </w:p>
    <w:p w14:paraId="29C853D5" w14:textId="66375E3D" w:rsidR="00520CF5" w:rsidRDefault="00520CF5">
      <w:pPr>
        <w:pStyle w:val="Standard"/>
        <w:rPr>
          <w:rFonts w:hint="eastAsia"/>
          <w:b/>
          <w:bCs/>
        </w:rPr>
      </w:pPr>
    </w:p>
    <w:p w14:paraId="5CB21AA9" w14:textId="79F326F0" w:rsidR="00AD1466" w:rsidRPr="009371B9" w:rsidRDefault="00936172" w:rsidP="009371B9">
      <w:pPr>
        <w:pStyle w:val="Standard"/>
        <w:jc w:val="both"/>
        <w:rPr>
          <w:rFonts w:hint="eastAsia"/>
          <w:bCs/>
        </w:rPr>
      </w:pPr>
      <w:r>
        <w:rPr>
          <w:bCs/>
        </w:rPr>
        <w:t>Formation</w:t>
      </w:r>
      <w:r w:rsidR="00520CF5" w:rsidRPr="009371B9">
        <w:rPr>
          <w:bCs/>
        </w:rPr>
        <w:t xml:space="preserve"> des personnels </w:t>
      </w:r>
      <w:r>
        <w:rPr>
          <w:bCs/>
        </w:rPr>
        <w:t xml:space="preserve">SNCF </w:t>
      </w:r>
      <w:r w:rsidR="00520CF5" w:rsidRPr="009371B9">
        <w:rPr>
          <w:bCs/>
        </w:rPr>
        <w:t xml:space="preserve">en relation avec des voyageurs sur le réseau ferré (agents d’accueil, contrôleurs, agents de médiation…) : </w:t>
      </w:r>
      <w:r w:rsidR="0087339E">
        <w:rPr>
          <w:bCs/>
        </w:rPr>
        <w:t xml:space="preserve"> D’ici à 2021, il reste 180 agents à former conformément au tableau présenté ci-dessous : </w:t>
      </w:r>
    </w:p>
    <w:p w14:paraId="793938EF" w14:textId="77777777" w:rsidR="00AD1466" w:rsidRPr="009371B9" w:rsidRDefault="00AD1466" w:rsidP="009371B9">
      <w:pPr>
        <w:pStyle w:val="Standard"/>
        <w:jc w:val="both"/>
        <w:rPr>
          <w:rFonts w:hint="eastAsia"/>
          <w:bCs/>
        </w:rPr>
      </w:pPr>
    </w:p>
    <w:tbl>
      <w:tblPr>
        <w:tblStyle w:val="Grilledutableau"/>
        <w:tblW w:w="0" w:type="auto"/>
        <w:tblLook w:val="04A0" w:firstRow="1" w:lastRow="0" w:firstColumn="1" w:lastColumn="0" w:noHBand="0" w:noVBand="1"/>
      </w:tblPr>
      <w:tblGrid>
        <w:gridCol w:w="3397"/>
        <w:gridCol w:w="1560"/>
        <w:gridCol w:w="1559"/>
        <w:gridCol w:w="1701"/>
        <w:gridCol w:w="1411"/>
      </w:tblGrid>
      <w:tr w:rsidR="003618AF" w14:paraId="05C07833" w14:textId="0771124C" w:rsidTr="003618AF">
        <w:tc>
          <w:tcPr>
            <w:tcW w:w="3397" w:type="dxa"/>
          </w:tcPr>
          <w:p w14:paraId="2496222E" w14:textId="77777777" w:rsidR="003618AF" w:rsidRDefault="003618AF" w:rsidP="003618AF">
            <w:pPr>
              <w:pStyle w:val="Standard"/>
              <w:jc w:val="center"/>
              <w:rPr>
                <w:rFonts w:hint="eastAsia"/>
                <w:bCs/>
              </w:rPr>
            </w:pPr>
          </w:p>
        </w:tc>
        <w:tc>
          <w:tcPr>
            <w:tcW w:w="1560" w:type="dxa"/>
            <w:shd w:val="clear" w:color="auto" w:fill="95B3D7" w:themeFill="accent1" w:themeFillTint="99"/>
          </w:tcPr>
          <w:p w14:paraId="2EA9FEA0" w14:textId="4F000499" w:rsidR="003618AF" w:rsidRDefault="003618AF" w:rsidP="003618AF">
            <w:pPr>
              <w:pStyle w:val="Standard"/>
              <w:jc w:val="center"/>
              <w:rPr>
                <w:rFonts w:hint="eastAsia"/>
                <w:bCs/>
              </w:rPr>
            </w:pPr>
            <w:r>
              <w:rPr>
                <w:bCs/>
              </w:rPr>
              <w:t>2019</w:t>
            </w:r>
          </w:p>
        </w:tc>
        <w:tc>
          <w:tcPr>
            <w:tcW w:w="1559" w:type="dxa"/>
            <w:shd w:val="clear" w:color="auto" w:fill="95B3D7" w:themeFill="accent1" w:themeFillTint="99"/>
          </w:tcPr>
          <w:p w14:paraId="4A9A17A4" w14:textId="181BCA5F" w:rsidR="003618AF" w:rsidRDefault="003618AF" w:rsidP="003618AF">
            <w:pPr>
              <w:pStyle w:val="Standard"/>
              <w:jc w:val="center"/>
              <w:rPr>
                <w:rFonts w:hint="eastAsia"/>
                <w:bCs/>
              </w:rPr>
            </w:pPr>
            <w:r>
              <w:rPr>
                <w:bCs/>
              </w:rPr>
              <w:t>2020</w:t>
            </w:r>
          </w:p>
        </w:tc>
        <w:tc>
          <w:tcPr>
            <w:tcW w:w="1701" w:type="dxa"/>
            <w:shd w:val="clear" w:color="auto" w:fill="95B3D7" w:themeFill="accent1" w:themeFillTint="99"/>
          </w:tcPr>
          <w:p w14:paraId="1489CE6A" w14:textId="42AFCE0F" w:rsidR="003618AF" w:rsidRDefault="003618AF" w:rsidP="003618AF">
            <w:pPr>
              <w:pStyle w:val="Standard"/>
              <w:jc w:val="center"/>
              <w:rPr>
                <w:rFonts w:hint="eastAsia"/>
                <w:bCs/>
              </w:rPr>
            </w:pPr>
            <w:r>
              <w:rPr>
                <w:bCs/>
              </w:rPr>
              <w:t>2021</w:t>
            </w:r>
          </w:p>
        </w:tc>
        <w:tc>
          <w:tcPr>
            <w:tcW w:w="1411" w:type="dxa"/>
            <w:shd w:val="clear" w:color="auto" w:fill="95B3D7" w:themeFill="accent1" w:themeFillTint="99"/>
          </w:tcPr>
          <w:p w14:paraId="17D79A6B" w14:textId="1256A4D9" w:rsidR="003618AF" w:rsidRDefault="003618AF" w:rsidP="003618AF">
            <w:pPr>
              <w:pStyle w:val="Standard"/>
              <w:jc w:val="center"/>
              <w:rPr>
                <w:rFonts w:hint="eastAsia"/>
                <w:bCs/>
              </w:rPr>
            </w:pPr>
            <w:r>
              <w:rPr>
                <w:bCs/>
              </w:rPr>
              <w:t>TOTAL</w:t>
            </w:r>
          </w:p>
        </w:tc>
      </w:tr>
      <w:tr w:rsidR="003618AF" w14:paraId="7A31970C" w14:textId="454BC62D" w:rsidTr="003618AF">
        <w:tc>
          <w:tcPr>
            <w:tcW w:w="3397" w:type="dxa"/>
            <w:shd w:val="clear" w:color="auto" w:fill="DBE5F1" w:themeFill="accent1" w:themeFillTint="33"/>
          </w:tcPr>
          <w:p w14:paraId="43CFFF24" w14:textId="1F3684C9" w:rsidR="003618AF" w:rsidRDefault="003618AF" w:rsidP="009371B9">
            <w:pPr>
              <w:pStyle w:val="Standard"/>
              <w:jc w:val="both"/>
              <w:rPr>
                <w:rFonts w:hint="eastAsia"/>
                <w:bCs/>
              </w:rPr>
            </w:pPr>
            <w:r>
              <w:rPr>
                <w:bCs/>
              </w:rPr>
              <w:t>Agents formés</w:t>
            </w:r>
          </w:p>
        </w:tc>
        <w:tc>
          <w:tcPr>
            <w:tcW w:w="1560" w:type="dxa"/>
          </w:tcPr>
          <w:p w14:paraId="1D7BCDEA" w14:textId="14BE4E23" w:rsidR="003618AF" w:rsidRDefault="003618AF" w:rsidP="003618AF">
            <w:pPr>
              <w:pStyle w:val="Standard"/>
              <w:jc w:val="center"/>
              <w:rPr>
                <w:rFonts w:hint="eastAsia"/>
                <w:bCs/>
              </w:rPr>
            </w:pPr>
            <w:r>
              <w:rPr>
                <w:bCs/>
              </w:rPr>
              <w:t>42</w:t>
            </w:r>
          </w:p>
        </w:tc>
        <w:tc>
          <w:tcPr>
            <w:tcW w:w="1559" w:type="dxa"/>
          </w:tcPr>
          <w:p w14:paraId="31974893" w14:textId="0CECC654" w:rsidR="003618AF" w:rsidRDefault="003618AF" w:rsidP="003618AF">
            <w:pPr>
              <w:pStyle w:val="Standard"/>
              <w:jc w:val="center"/>
              <w:rPr>
                <w:rFonts w:hint="eastAsia"/>
                <w:bCs/>
              </w:rPr>
            </w:pPr>
            <w:r>
              <w:rPr>
                <w:bCs/>
              </w:rPr>
              <w:t>70</w:t>
            </w:r>
          </w:p>
        </w:tc>
        <w:tc>
          <w:tcPr>
            <w:tcW w:w="1701" w:type="dxa"/>
          </w:tcPr>
          <w:p w14:paraId="13C7FC95" w14:textId="7DD8D6C9" w:rsidR="003618AF" w:rsidRDefault="003618AF" w:rsidP="003618AF">
            <w:pPr>
              <w:pStyle w:val="Standard"/>
              <w:jc w:val="center"/>
              <w:rPr>
                <w:rFonts w:hint="eastAsia"/>
                <w:bCs/>
              </w:rPr>
            </w:pPr>
            <w:r>
              <w:rPr>
                <w:bCs/>
              </w:rPr>
              <w:t>68</w:t>
            </w:r>
          </w:p>
        </w:tc>
        <w:tc>
          <w:tcPr>
            <w:tcW w:w="1411" w:type="dxa"/>
          </w:tcPr>
          <w:p w14:paraId="06FE74E2" w14:textId="5200B765" w:rsidR="003618AF" w:rsidRDefault="003618AF" w:rsidP="003618AF">
            <w:pPr>
              <w:pStyle w:val="Standard"/>
              <w:jc w:val="center"/>
              <w:rPr>
                <w:rFonts w:hint="eastAsia"/>
                <w:bCs/>
              </w:rPr>
            </w:pPr>
            <w:r>
              <w:rPr>
                <w:bCs/>
              </w:rPr>
              <w:t>180</w:t>
            </w:r>
          </w:p>
        </w:tc>
      </w:tr>
      <w:tr w:rsidR="003618AF" w14:paraId="16617546" w14:textId="6AD6AEFB" w:rsidTr="003618AF">
        <w:tc>
          <w:tcPr>
            <w:tcW w:w="3397" w:type="dxa"/>
            <w:shd w:val="clear" w:color="auto" w:fill="DBE5F1" w:themeFill="accent1" w:themeFillTint="33"/>
          </w:tcPr>
          <w:p w14:paraId="5B7CAD08" w14:textId="4CCFA367" w:rsidR="003618AF" w:rsidRDefault="003618AF" w:rsidP="009371B9">
            <w:pPr>
              <w:pStyle w:val="Standard"/>
              <w:jc w:val="both"/>
              <w:rPr>
                <w:rFonts w:hint="eastAsia"/>
                <w:bCs/>
              </w:rPr>
            </w:pPr>
            <w:r>
              <w:rPr>
                <w:bCs/>
              </w:rPr>
              <w:t>Volume d’heures en formation</w:t>
            </w:r>
          </w:p>
        </w:tc>
        <w:tc>
          <w:tcPr>
            <w:tcW w:w="1560" w:type="dxa"/>
          </w:tcPr>
          <w:p w14:paraId="5906E78B" w14:textId="5A4ED5A4" w:rsidR="003618AF" w:rsidRDefault="003618AF" w:rsidP="003618AF">
            <w:pPr>
              <w:pStyle w:val="Standard"/>
              <w:jc w:val="center"/>
              <w:rPr>
                <w:rFonts w:hint="eastAsia"/>
                <w:bCs/>
              </w:rPr>
            </w:pPr>
            <w:r>
              <w:rPr>
                <w:bCs/>
              </w:rPr>
              <w:t>147</w:t>
            </w:r>
          </w:p>
        </w:tc>
        <w:tc>
          <w:tcPr>
            <w:tcW w:w="1559" w:type="dxa"/>
          </w:tcPr>
          <w:p w14:paraId="78ED9EF4" w14:textId="14D25748" w:rsidR="003618AF" w:rsidRDefault="003618AF" w:rsidP="003618AF">
            <w:pPr>
              <w:pStyle w:val="Standard"/>
              <w:jc w:val="center"/>
              <w:rPr>
                <w:rFonts w:hint="eastAsia"/>
                <w:bCs/>
              </w:rPr>
            </w:pPr>
            <w:r>
              <w:rPr>
                <w:bCs/>
              </w:rPr>
              <w:t>245</w:t>
            </w:r>
          </w:p>
        </w:tc>
        <w:tc>
          <w:tcPr>
            <w:tcW w:w="1701" w:type="dxa"/>
          </w:tcPr>
          <w:p w14:paraId="4EF7E037" w14:textId="6EF40363" w:rsidR="003618AF" w:rsidRDefault="003618AF" w:rsidP="003618AF">
            <w:pPr>
              <w:pStyle w:val="Standard"/>
              <w:jc w:val="center"/>
              <w:rPr>
                <w:rFonts w:hint="eastAsia"/>
                <w:bCs/>
              </w:rPr>
            </w:pPr>
            <w:r>
              <w:rPr>
                <w:bCs/>
              </w:rPr>
              <w:t>238</w:t>
            </w:r>
          </w:p>
        </w:tc>
        <w:tc>
          <w:tcPr>
            <w:tcW w:w="1411" w:type="dxa"/>
          </w:tcPr>
          <w:p w14:paraId="4903CBD1" w14:textId="7E5DCFC0" w:rsidR="003618AF" w:rsidRDefault="003618AF" w:rsidP="003618AF">
            <w:pPr>
              <w:pStyle w:val="Standard"/>
              <w:jc w:val="center"/>
              <w:rPr>
                <w:rFonts w:hint="eastAsia"/>
                <w:bCs/>
              </w:rPr>
            </w:pPr>
            <w:r>
              <w:rPr>
                <w:bCs/>
              </w:rPr>
              <w:t>630</w:t>
            </w:r>
          </w:p>
        </w:tc>
      </w:tr>
    </w:tbl>
    <w:p w14:paraId="614A83E7" w14:textId="77777777" w:rsidR="003618AF" w:rsidRPr="009371B9" w:rsidRDefault="003618AF" w:rsidP="009371B9">
      <w:pPr>
        <w:pStyle w:val="Standard"/>
        <w:jc w:val="both"/>
        <w:rPr>
          <w:rFonts w:hint="eastAsia"/>
          <w:bCs/>
        </w:rPr>
      </w:pPr>
    </w:p>
    <w:p w14:paraId="295023EC" w14:textId="7E6A2A0E" w:rsidR="00520CF5" w:rsidRPr="009371B9" w:rsidRDefault="00AD1466" w:rsidP="009371B9">
      <w:pPr>
        <w:pStyle w:val="Standard"/>
        <w:jc w:val="both"/>
        <w:rPr>
          <w:rFonts w:hint="eastAsia"/>
          <w:bCs/>
        </w:rPr>
      </w:pPr>
      <w:r w:rsidRPr="009371B9">
        <w:rPr>
          <w:bCs/>
        </w:rPr>
        <w:t xml:space="preserve">Le module de formation </w:t>
      </w:r>
      <w:r w:rsidR="00936172">
        <w:rPr>
          <w:bCs/>
        </w:rPr>
        <w:t xml:space="preserve">SNCF </w:t>
      </w:r>
      <w:r w:rsidRPr="009371B9">
        <w:rPr>
          <w:bCs/>
        </w:rPr>
        <w:t xml:space="preserve">« mieux intégrer le handicap, mieux accueillir et avoir la </w:t>
      </w:r>
      <w:r w:rsidRPr="009371B9">
        <w:rPr>
          <w:bCs/>
        </w:rPr>
        <w:lastRenderedPageBreak/>
        <w:t xml:space="preserve">bonne attitude de service » propose : </w:t>
      </w:r>
    </w:p>
    <w:p w14:paraId="67DD32E1" w14:textId="30576B25" w:rsidR="00AD1466" w:rsidRPr="009371B9" w:rsidRDefault="00AD1466" w:rsidP="009371B9">
      <w:pPr>
        <w:pStyle w:val="Standard"/>
        <w:jc w:val="both"/>
        <w:rPr>
          <w:rFonts w:hint="eastAsia"/>
          <w:bCs/>
        </w:rPr>
      </w:pPr>
    </w:p>
    <w:p w14:paraId="24B64734" w14:textId="2C8F6E21" w:rsidR="00AD1466" w:rsidRPr="009371B9" w:rsidRDefault="00AD1466" w:rsidP="009371B9">
      <w:pPr>
        <w:pStyle w:val="Standard"/>
        <w:numPr>
          <w:ilvl w:val="0"/>
          <w:numId w:val="10"/>
        </w:numPr>
        <w:jc w:val="both"/>
        <w:rPr>
          <w:rFonts w:hint="eastAsia"/>
          <w:bCs/>
        </w:rPr>
      </w:pPr>
      <w:r w:rsidRPr="009371B9">
        <w:rPr>
          <w:bCs/>
        </w:rPr>
        <w:t xml:space="preserve">Une demi-journée portant sur la connaissance des différents types de handicap </w:t>
      </w:r>
    </w:p>
    <w:p w14:paraId="1580A5CF" w14:textId="6B6CFCD3" w:rsidR="00AD1466" w:rsidRPr="009371B9" w:rsidRDefault="00AD1466" w:rsidP="009371B9">
      <w:pPr>
        <w:pStyle w:val="Standard"/>
        <w:numPr>
          <w:ilvl w:val="0"/>
          <w:numId w:val="10"/>
        </w:numPr>
        <w:jc w:val="both"/>
        <w:rPr>
          <w:rFonts w:hint="eastAsia"/>
          <w:bCs/>
        </w:rPr>
      </w:pPr>
      <w:r w:rsidRPr="009371B9">
        <w:rPr>
          <w:bCs/>
        </w:rPr>
        <w:t xml:space="preserve">Une demi-journée « pratique » sur la prise en charge des personnes en situation de handicap. </w:t>
      </w:r>
    </w:p>
    <w:p w14:paraId="4F2C2708" w14:textId="7E891D80" w:rsidR="00AD1466" w:rsidRPr="009371B9" w:rsidRDefault="00AD1466" w:rsidP="009371B9">
      <w:pPr>
        <w:pStyle w:val="Standard"/>
        <w:jc w:val="both"/>
        <w:rPr>
          <w:rFonts w:hint="eastAsia"/>
          <w:bCs/>
        </w:rPr>
      </w:pPr>
    </w:p>
    <w:p w14:paraId="6D3DA245" w14:textId="682C26E2" w:rsidR="00AD1466" w:rsidRPr="009371B9" w:rsidRDefault="009371B9" w:rsidP="009371B9">
      <w:pPr>
        <w:pStyle w:val="Standard"/>
        <w:jc w:val="both"/>
        <w:rPr>
          <w:rFonts w:hint="eastAsia"/>
          <w:bCs/>
        </w:rPr>
      </w:pPr>
      <w:r w:rsidRPr="009371B9">
        <w:rPr>
          <w:bCs/>
        </w:rPr>
        <w:t xml:space="preserve">Le personnel est concerné à des niveaux différents (agents d’escale, de vente, l’EIC, le centre relation clientèle, les contrôleurs). </w:t>
      </w:r>
      <w:r w:rsidR="002E4866">
        <w:rPr>
          <w:rFonts w:hint="eastAsia"/>
          <w:bCs/>
        </w:rPr>
        <w:t>L</w:t>
      </w:r>
      <w:r w:rsidR="002E4866">
        <w:rPr>
          <w:bCs/>
        </w:rPr>
        <w:t xml:space="preserve">e personnel est concerné à des niveaux différents </w:t>
      </w:r>
    </w:p>
    <w:p w14:paraId="265B0D17" w14:textId="6295F182" w:rsidR="00520CF5" w:rsidRPr="009371B9" w:rsidRDefault="00520CF5" w:rsidP="009371B9">
      <w:pPr>
        <w:pStyle w:val="Standard"/>
        <w:jc w:val="both"/>
        <w:rPr>
          <w:rFonts w:hint="eastAsia"/>
          <w:bCs/>
        </w:rPr>
      </w:pPr>
    </w:p>
    <w:p w14:paraId="2D5EE4EA" w14:textId="27623C90" w:rsidR="009371B9" w:rsidRPr="009371B9" w:rsidRDefault="009371B9" w:rsidP="009371B9">
      <w:pPr>
        <w:pStyle w:val="Standard"/>
        <w:jc w:val="both"/>
        <w:rPr>
          <w:rFonts w:hint="eastAsia"/>
          <w:bCs/>
        </w:rPr>
      </w:pPr>
      <w:r w:rsidRPr="009371B9">
        <w:rPr>
          <w:bCs/>
        </w:rPr>
        <w:t xml:space="preserve">Les agents sont formés par un centre de formation UDS, appuyé par deux formateurs en local. </w:t>
      </w:r>
    </w:p>
    <w:p w14:paraId="5B72737F" w14:textId="77777777" w:rsidR="009371B9" w:rsidRDefault="009371B9">
      <w:pPr>
        <w:pStyle w:val="Standard"/>
        <w:rPr>
          <w:rFonts w:hint="eastAsia"/>
          <w:b/>
          <w:bCs/>
        </w:rPr>
      </w:pPr>
    </w:p>
    <w:p w14:paraId="0466531C" w14:textId="510C669C" w:rsidR="00F80346" w:rsidRDefault="00F0127D" w:rsidP="00520CF5">
      <w:pPr>
        <w:pStyle w:val="Standard"/>
        <w:numPr>
          <w:ilvl w:val="0"/>
          <w:numId w:val="7"/>
        </w:numPr>
        <w:rPr>
          <w:rFonts w:hint="eastAsia"/>
          <w:b/>
          <w:bCs/>
        </w:rPr>
      </w:pPr>
      <w:r>
        <w:rPr>
          <w:b/>
          <w:bCs/>
        </w:rPr>
        <w:t xml:space="preserve">Formation du personnel du réseau routier </w:t>
      </w:r>
    </w:p>
    <w:p w14:paraId="648F1603" w14:textId="77777777" w:rsidR="00F80346" w:rsidRDefault="00F80346">
      <w:pPr>
        <w:pStyle w:val="Standard"/>
        <w:rPr>
          <w:rFonts w:hint="eastAsia"/>
        </w:rPr>
      </w:pPr>
    </w:p>
    <w:p w14:paraId="087B33E2" w14:textId="5886B00B" w:rsidR="00F80346" w:rsidRDefault="00B65C23" w:rsidP="00B65C23">
      <w:pPr>
        <w:pStyle w:val="Standard"/>
        <w:numPr>
          <w:ilvl w:val="0"/>
          <w:numId w:val="13"/>
        </w:numPr>
        <w:rPr>
          <w:rFonts w:hint="eastAsia"/>
        </w:rPr>
      </w:pPr>
      <w:r>
        <w:t>Les lignes routières ex-</w:t>
      </w:r>
      <w:r w:rsidR="00936172">
        <w:t>TER</w:t>
      </w:r>
    </w:p>
    <w:p w14:paraId="55E1C24E" w14:textId="50E82033" w:rsidR="0066638C" w:rsidRDefault="0066638C" w:rsidP="0066638C">
      <w:pPr>
        <w:pStyle w:val="Standard"/>
        <w:rPr>
          <w:rFonts w:hint="eastAsia"/>
        </w:rPr>
      </w:pPr>
    </w:p>
    <w:p w14:paraId="742813A6" w14:textId="34400B68" w:rsidR="0066638C" w:rsidRDefault="0066638C" w:rsidP="0066638C">
      <w:pPr>
        <w:pStyle w:val="Standard"/>
        <w:jc w:val="both"/>
        <w:rPr>
          <w:rFonts w:hint="eastAsia"/>
        </w:rPr>
      </w:pPr>
      <w:r>
        <w:t xml:space="preserve">Tours-Châteauroux (lot 1) : l’ensemble des conducteurs sont formés. De 2016 à 2018, la formation a été axée sur la manipulation d’un fauteuil roulant, l’utilisation de la rampe d’accès du véhicule et les processus d’installation d’une personne en fauteuil roulant (attaches et ceintures de sécurité). En 2019, une formation plus large a été organisée : que dit la loi de 2005 sur l’accessibilité, les familles de handicap (moteur, intellectuel, visuel et auditif), le comportement à adopter face à une personne en fauteuil roulant, la prise en charge d’un non voyant dans le véhicule. </w:t>
      </w:r>
    </w:p>
    <w:p w14:paraId="0F9DE7D7" w14:textId="77777777" w:rsidR="00DB73C8" w:rsidRDefault="00DB73C8" w:rsidP="00B65C23">
      <w:pPr>
        <w:pStyle w:val="Standard"/>
        <w:jc w:val="both"/>
        <w:rPr>
          <w:rFonts w:hint="eastAsia"/>
        </w:rPr>
      </w:pPr>
    </w:p>
    <w:p w14:paraId="53F30E46" w14:textId="1CDD6C4E" w:rsidR="00DB73C8" w:rsidRDefault="00DB73C8" w:rsidP="00B65C23">
      <w:pPr>
        <w:pStyle w:val="Standard"/>
        <w:jc w:val="both"/>
        <w:rPr>
          <w:rFonts w:hint="eastAsia"/>
        </w:rPr>
      </w:pPr>
      <w:r>
        <w:t xml:space="preserve">Mondoubleau-Vendôme (Lot 2), Château-Renault – Vendôme (Lot 2), Blois – Limeray (Lot 2) : </w:t>
      </w:r>
      <w:r w:rsidR="00936172">
        <w:t xml:space="preserve">agents formés principalement dans le cadre des </w:t>
      </w:r>
      <w:r w:rsidR="005C7231">
        <w:t xml:space="preserve">formations continues obligatoires, </w:t>
      </w:r>
    </w:p>
    <w:p w14:paraId="71EF6FCF" w14:textId="09A14F30" w:rsidR="00101A99" w:rsidRDefault="00101A99" w:rsidP="00B65C23">
      <w:pPr>
        <w:pStyle w:val="Standard"/>
        <w:jc w:val="both"/>
        <w:rPr>
          <w:rFonts w:hint="eastAsia"/>
        </w:rPr>
      </w:pPr>
    </w:p>
    <w:p w14:paraId="0C67A900" w14:textId="068F1F77" w:rsidR="00101A99" w:rsidRDefault="00101A99" w:rsidP="00B65C23">
      <w:pPr>
        <w:pStyle w:val="Standard"/>
        <w:jc w:val="both"/>
        <w:rPr>
          <w:rFonts w:hint="eastAsia"/>
        </w:rPr>
      </w:pPr>
      <w:r w:rsidRPr="00101A99">
        <w:t>Montargis – Gien (Lot 4) ; Aubigny – Gien (Lot 4) : 16 agents sont formés</w:t>
      </w:r>
      <w:r>
        <w:t>. En plus des connaissances afférente</w:t>
      </w:r>
      <w:r>
        <w:rPr>
          <w:rFonts w:hint="eastAsia"/>
        </w:rPr>
        <w:t>s</w:t>
      </w:r>
      <w:r>
        <w:t xml:space="preserve"> énoncées en formation initiale en Titre professionnel pour les jeunes recrues, ajoutés aux éléments évoqués en FCO, le titulaire réalise régulièrement des formations complémentaires de manipulation et fonctionnement des ascenseurs et rampes. Il réalise des rappels de manipulation des </w:t>
      </w:r>
      <w:r w:rsidRPr="00BF0874">
        <w:t>systèmes d’</w:t>
      </w:r>
      <w:r w:rsidR="000C2E7B" w:rsidRPr="00BF0874">
        <w:t>encrage</w:t>
      </w:r>
      <w:r>
        <w:t xml:space="preserve"> et sécurisation du passager et des divers types de fauteuils avec des exemplaires électriques ou plus traditionnels en permanence sur le dépôt principal pour réaliser des mises en situation. Il projette de réaliser une nouvelle formation relationnelle client avec un module spécifique à l’accueil des personnes handicapées à bord des cars début 2020. </w:t>
      </w:r>
    </w:p>
    <w:p w14:paraId="5225C262" w14:textId="0D9F1D4B" w:rsidR="00FC38E7" w:rsidRDefault="00FC38E7" w:rsidP="00B65C23">
      <w:pPr>
        <w:pStyle w:val="Standard"/>
        <w:jc w:val="both"/>
        <w:rPr>
          <w:rFonts w:hint="eastAsia"/>
        </w:rPr>
      </w:pPr>
    </w:p>
    <w:p w14:paraId="2C338B1B" w14:textId="424A222E" w:rsidR="00FC38E7" w:rsidRDefault="00FC38E7" w:rsidP="00B65C23">
      <w:pPr>
        <w:pStyle w:val="Standard"/>
        <w:jc w:val="both"/>
        <w:rPr>
          <w:rFonts w:hint="eastAsia"/>
        </w:rPr>
      </w:pPr>
      <w:r w:rsidRPr="00FD70CD">
        <w:t>Nouan-le-Fuzelier – Romorantin-Lanthenay (lot 6) ; Thésée – Romorantin-Lanthenay (lot 6) ; Romorantin – Vierzon (lot 6) : les conducteurs sont tous formé</w:t>
      </w:r>
      <w:r>
        <w:t xml:space="preserve">s aux problématiques PMR. Les objectifs sont : acquérir les connaissances et aptitudes permettant l’accompagnement à bord du véhicule, acquérir les bons gestes à la manipulation du matériel. </w:t>
      </w:r>
      <w:r>
        <w:rPr>
          <w:rFonts w:hint="eastAsia"/>
        </w:rPr>
        <w:t>Cette</w:t>
      </w:r>
      <w:r>
        <w:t xml:space="preserve"> formation dure 14h.  </w:t>
      </w:r>
    </w:p>
    <w:p w14:paraId="310E110F" w14:textId="03B137D5" w:rsidR="00A95DFC" w:rsidRDefault="00A95DFC" w:rsidP="00B65C23">
      <w:pPr>
        <w:pStyle w:val="Standard"/>
        <w:jc w:val="both"/>
        <w:rPr>
          <w:rFonts w:hint="eastAsia"/>
        </w:rPr>
      </w:pPr>
    </w:p>
    <w:p w14:paraId="40B78F84" w14:textId="7590C007" w:rsidR="00A95DFC" w:rsidRDefault="00A95DFC" w:rsidP="00B65C23">
      <w:pPr>
        <w:pStyle w:val="Standard"/>
        <w:jc w:val="both"/>
        <w:rPr>
          <w:rFonts w:hint="eastAsia"/>
        </w:rPr>
      </w:pPr>
      <w:r>
        <w:t xml:space="preserve">Argenton – Châteauroux (lot 7) ; Châteauroux – Poitiers (lot 7) : </w:t>
      </w:r>
      <w:r w:rsidR="00F80464">
        <w:t>agents formés principalement dans le cadre des formations continues obligatoires</w:t>
      </w:r>
      <w:r w:rsidR="00F80464" w:rsidRPr="00BF0874">
        <w:t xml:space="preserve"> </w:t>
      </w:r>
    </w:p>
    <w:p w14:paraId="0AE6258F" w14:textId="3A3B9E6A" w:rsidR="00D520E4" w:rsidRDefault="00D520E4" w:rsidP="00B65C23">
      <w:pPr>
        <w:pStyle w:val="Standard"/>
        <w:jc w:val="both"/>
        <w:rPr>
          <w:rFonts w:hint="eastAsia"/>
        </w:rPr>
      </w:pPr>
    </w:p>
    <w:p w14:paraId="1C391C94" w14:textId="4E88715F" w:rsidR="00D520E4" w:rsidRPr="00101A99" w:rsidRDefault="00D520E4" w:rsidP="00B65C23">
      <w:pPr>
        <w:pStyle w:val="Standard"/>
        <w:jc w:val="both"/>
        <w:rPr>
          <w:rFonts w:hint="eastAsia"/>
        </w:rPr>
      </w:pPr>
      <w:r>
        <w:t xml:space="preserve">Tours – Chinon (lot 8) et Tours – Château du Loir : les conducteurs sont tous formés aux problématiques PMR. Une formation pratique pour la manipulation des plateformes élévatrices et la sensibilisation aux problématiques du handicap dans les transports est dispensée. </w:t>
      </w:r>
    </w:p>
    <w:p w14:paraId="3A9E7416" w14:textId="77777777" w:rsidR="00DB73C8" w:rsidRPr="00101A99" w:rsidRDefault="00DB73C8" w:rsidP="00B65C23">
      <w:pPr>
        <w:pStyle w:val="Standard"/>
        <w:jc w:val="both"/>
        <w:rPr>
          <w:rFonts w:hint="eastAsia"/>
        </w:rPr>
      </w:pPr>
    </w:p>
    <w:p w14:paraId="2D460CFD" w14:textId="3C95C3CA" w:rsidR="00B65C23" w:rsidRDefault="00B65C23" w:rsidP="00B65C23">
      <w:pPr>
        <w:pStyle w:val="Standard"/>
        <w:jc w:val="both"/>
        <w:rPr>
          <w:rFonts w:hint="eastAsia"/>
        </w:rPr>
      </w:pPr>
      <w:r>
        <w:t>Sancerre – Cosne</w:t>
      </w:r>
      <w:r w:rsidR="009D08F3">
        <w:t xml:space="preserve"> (lot 9)</w:t>
      </w:r>
      <w:r>
        <w:t> : 8 conducteurs sont affectés sur cette ligne</w:t>
      </w:r>
      <w:r w:rsidR="000B5001">
        <w:t xml:space="preserve"> et sont tous formés </w:t>
      </w:r>
      <w:r w:rsidR="000B5001">
        <w:lastRenderedPageBreak/>
        <w:t>aux problématiques PMR.</w:t>
      </w:r>
      <w:r>
        <w:t xml:space="preserve"> La formation dure 28h </w:t>
      </w:r>
      <w:r w:rsidR="009D002C">
        <w:t xml:space="preserve">et a pour </w:t>
      </w:r>
      <w:r>
        <w:t xml:space="preserve">objectif d’acquérir </w:t>
      </w:r>
      <w:r w:rsidR="00D520E4">
        <w:t>les techniques essentiell</w:t>
      </w:r>
      <w:r w:rsidR="00D520E4">
        <w:rPr>
          <w:rFonts w:hint="eastAsia"/>
        </w:rPr>
        <w:t>es</w:t>
      </w:r>
      <w:r>
        <w:t xml:space="preserve"> à la prise en charge des personnes à mobilité réduite, tant sur la connaissance des publics et à la communication que des gestes techniques dans le domaine de la sécurité, de l’accompagnement et du confort des personnes à mobilité réduite. </w:t>
      </w:r>
    </w:p>
    <w:p w14:paraId="05053AD3" w14:textId="34AE7224" w:rsidR="00D520E4" w:rsidRDefault="00D520E4" w:rsidP="00B65C23">
      <w:pPr>
        <w:pStyle w:val="Standard"/>
        <w:jc w:val="both"/>
        <w:rPr>
          <w:rFonts w:hint="eastAsia"/>
        </w:rPr>
      </w:pPr>
    </w:p>
    <w:p w14:paraId="235D9F7A" w14:textId="696844A6" w:rsidR="00D520E4" w:rsidRDefault="00D520E4" w:rsidP="00B65C23">
      <w:pPr>
        <w:pStyle w:val="Standard"/>
        <w:jc w:val="both"/>
        <w:rPr>
          <w:rFonts w:hint="eastAsia"/>
        </w:rPr>
      </w:pPr>
      <w:r>
        <w:t xml:space="preserve">Tours – Fleury-les-Aubrais (lot 10) : les conducteurs sont tous formés aux problématiques PMR. Une formation pratique pour la manipulation des </w:t>
      </w:r>
      <w:r w:rsidR="00356576">
        <w:t xml:space="preserve">plateformes élévatrices et la sensibilisation aux problématiques du handicap dans les transports est dispensée. </w:t>
      </w:r>
    </w:p>
    <w:p w14:paraId="129A8FD0" w14:textId="763430B4" w:rsidR="00B65C23" w:rsidRDefault="00B65C23">
      <w:pPr>
        <w:pStyle w:val="Standard"/>
        <w:rPr>
          <w:rFonts w:hint="eastAsia"/>
        </w:rPr>
      </w:pPr>
    </w:p>
    <w:p w14:paraId="4B3D6E50" w14:textId="70D4742B" w:rsidR="00EC3CA7" w:rsidRDefault="00EC3CA7" w:rsidP="00EC3CA7">
      <w:pPr>
        <w:pStyle w:val="Standard"/>
        <w:jc w:val="both"/>
        <w:rPr>
          <w:rFonts w:hint="eastAsia"/>
        </w:rPr>
      </w:pPr>
      <w:r>
        <w:t xml:space="preserve">Thésée – St Aignan – Montrichard (TAD) : </w:t>
      </w:r>
      <w:r w:rsidR="000B5001">
        <w:t>conducteurs formés dans le cadre des formations continues obligatoires.</w:t>
      </w:r>
      <w:r>
        <w:t xml:space="preserve"> </w:t>
      </w:r>
    </w:p>
    <w:p w14:paraId="03A94A3A" w14:textId="10913949" w:rsidR="00A95DFC" w:rsidRDefault="00A95DFC" w:rsidP="00EC3CA7">
      <w:pPr>
        <w:pStyle w:val="Standard"/>
        <w:jc w:val="both"/>
        <w:rPr>
          <w:rFonts w:hint="eastAsia"/>
        </w:rPr>
      </w:pPr>
    </w:p>
    <w:p w14:paraId="2E4F716C" w14:textId="4FDD3854" w:rsidR="00A95DFC" w:rsidRPr="00A95DFC" w:rsidRDefault="00A95DFC" w:rsidP="00EC3CA7">
      <w:pPr>
        <w:pStyle w:val="Standard"/>
        <w:jc w:val="both"/>
        <w:rPr>
          <w:rFonts w:hint="eastAsia"/>
        </w:rPr>
      </w:pPr>
      <w:r w:rsidRPr="00A95DFC">
        <w:t xml:space="preserve">Bonny – Briare (TAD) : </w:t>
      </w:r>
      <w:r w:rsidR="00F80464">
        <w:t>agents formés principalement dans le cadre des formations continues obligatoires</w:t>
      </w:r>
      <w:r w:rsidR="00F80464" w:rsidRPr="00A95DFC">
        <w:t xml:space="preserve"> </w:t>
      </w:r>
    </w:p>
    <w:p w14:paraId="61630043" w14:textId="77777777" w:rsidR="004B0CEA" w:rsidRPr="00A95DFC" w:rsidRDefault="004B0CEA" w:rsidP="00EC3CA7">
      <w:pPr>
        <w:pStyle w:val="Standard"/>
        <w:jc w:val="both"/>
        <w:rPr>
          <w:rFonts w:hint="eastAsia"/>
        </w:rPr>
      </w:pPr>
    </w:p>
    <w:p w14:paraId="5FD38841" w14:textId="77777777" w:rsidR="00EC3CA7" w:rsidRPr="00A95DFC" w:rsidRDefault="00EC3CA7">
      <w:pPr>
        <w:pStyle w:val="Standard"/>
        <w:rPr>
          <w:rFonts w:hint="eastAsia"/>
        </w:rPr>
      </w:pPr>
    </w:p>
    <w:p w14:paraId="79821855" w14:textId="74C6CA13" w:rsidR="00F80346" w:rsidRDefault="00D146FF" w:rsidP="00D146FF">
      <w:pPr>
        <w:pStyle w:val="Standard"/>
        <w:numPr>
          <w:ilvl w:val="0"/>
          <w:numId w:val="13"/>
        </w:numPr>
        <w:rPr>
          <w:rFonts w:hint="eastAsia"/>
        </w:rPr>
      </w:pPr>
      <w:r>
        <w:t xml:space="preserve">Les lignes </w:t>
      </w:r>
      <w:r w:rsidR="00F80464">
        <w:t xml:space="preserve">routières </w:t>
      </w:r>
      <w:r w:rsidR="000B5001">
        <w:t>ex-départementales</w:t>
      </w:r>
    </w:p>
    <w:p w14:paraId="626E4203" w14:textId="71D143D8" w:rsidR="00D146FF" w:rsidRDefault="00D146FF" w:rsidP="00D146FF">
      <w:pPr>
        <w:pStyle w:val="Standard"/>
        <w:rPr>
          <w:rFonts w:hint="eastAsia"/>
        </w:rPr>
      </w:pPr>
    </w:p>
    <w:p w14:paraId="04249C80" w14:textId="2634E9C4" w:rsidR="00D146FF" w:rsidRPr="00B7254D" w:rsidRDefault="00B7254D" w:rsidP="00D146FF">
      <w:pPr>
        <w:pStyle w:val="Standard"/>
        <w:rPr>
          <w:rFonts w:hint="eastAsia"/>
        </w:rPr>
      </w:pPr>
      <w:r w:rsidRPr="00B7254D">
        <w:rPr>
          <w:highlight w:val="green"/>
        </w:rPr>
        <w:t>Se référer à l’annexe 1</w:t>
      </w:r>
      <w:r w:rsidR="0002378C">
        <w:rPr>
          <w:highlight w:val="green"/>
        </w:rPr>
        <w:t>2</w:t>
      </w:r>
      <w:r w:rsidR="001E52F7" w:rsidRPr="00B7254D">
        <w:t xml:space="preserve"> </w:t>
      </w:r>
    </w:p>
    <w:p w14:paraId="53E41FF2" w14:textId="53C2259E" w:rsidR="00D146FF" w:rsidRDefault="00D146FF" w:rsidP="00D146FF">
      <w:pPr>
        <w:pStyle w:val="Standard"/>
        <w:rPr>
          <w:rFonts w:hint="eastAsia"/>
        </w:rPr>
      </w:pPr>
    </w:p>
    <w:p w14:paraId="5A2A0F9D" w14:textId="77777777" w:rsidR="00D146FF" w:rsidRDefault="00D146FF" w:rsidP="00D146FF">
      <w:pPr>
        <w:pStyle w:val="Standard"/>
        <w:rPr>
          <w:rFonts w:hint="eastAsia"/>
        </w:rPr>
      </w:pPr>
    </w:p>
    <w:p w14:paraId="0EEC5FDC" w14:textId="039D5A53" w:rsidR="00F80346" w:rsidRDefault="00520CF5">
      <w:pPr>
        <w:pStyle w:val="Standard"/>
        <w:rPr>
          <w:rFonts w:hint="eastAsia"/>
          <w:b/>
          <w:bCs/>
        </w:rPr>
      </w:pPr>
      <w:r>
        <w:rPr>
          <w:b/>
          <w:bCs/>
        </w:rPr>
        <w:t>14</w:t>
      </w:r>
      <w:r w:rsidR="00F0127D">
        <w:rPr>
          <w:b/>
          <w:bCs/>
        </w:rPr>
        <w:t xml:space="preserve"> – Compléments d’informations</w:t>
      </w:r>
    </w:p>
    <w:p w14:paraId="1D264507" w14:textId="77777777" w:rsidR="00F80346" w:rsidRDefault="00F80346">
      <w:pPr>
        <w:pStyle w:val="Standard"/>
        <w:rPr>
          <w:rFonts w:hint="eastAsia"/>
        </w:rPr>
      </w:pPr>
    </w:p>
    <w:p w14:paraId="6032E9AB" w14:textId="5444BF72" w:rsidR="00F80346" w:rsidRDefault="00F0127D">
      <w:pPr>
        <w:pStyle w:val="Standard"/>
        <w:rPr>
          <w:rFonts w:hint="eastAsia"/>
        </w:rPr>
      </w:pPr>
      <w:r>
        <w:t>Informations jugées de nature à éclairer l’autorité ayant approuvé le Schéma directeur d’accessibilité Programmée :</w:t>
      </w:r>
      <w:r w:rsidR="002F0C08">
        <w:t xml:space="preserve"> </w:t>
      </w:r>
    </w:p>
    <w:p w14:paraId="1C3B33F1" w14:textId="77777777" w:rsidR="00F80346" w:rsidRDefault="00F80346">
      <w:pPr>
        <w:pStyle w:val="Standard"/>
        <w:rPr>
          <w:rFonts w:hint="eastAsia"/>
          <w:i/>
          <w:iCs/>
        </w:rPr>
      </w:pPr>
    </w:p>
    <w:p w14:paraId="637CC40D" w14:textId="28DA7940" w:rsidR="00F80346" w:rsidRDefault="00F80346">
      <w:pPr>
        <w:pStyle w:val="Standard"/>
        <w:rPr>
          <w:rFonts w:hint="eastAsia"/>
          <w:i/>
          <w:iCs/>
        </w:rPr>
      </w:pPr>
    </w:p>
    <w:p w14:paraId="447A2487" w14:textId="77777777" w:rsidR="00F80346" w:rsidRDefault="00F0127D">
      <w:pPr>
        <w:pStyle w:val="Standard"/>
        <w:jc w:val="both"/>
        <w:rPr>
          <w:rFonts w:hint="eastAsia"/>
          <w:b/>
          <w:bCs/>
        </w:rPr>
      </w:pPr>
      <w:r w:rsidRPr="00141592">
        <w:rPr>
          <w:b/>
          <w:bCs/>
          <w:highlight w:val="green"/>
        </w:rPr>
        <w:t>Liste des pièces jointes.</w:t>
      </w:r>
    </w:p>
    <w:p w14:paraId="1CD827E9" w14:textId="77777777" w:rsidR="00F80346" w:rsidRDefault="00F80346">
      <w:pPr>
        <w:pStyle w:val="Standard"/>
        <w:jc w:val="both"/>
        <w:rPr>
          <w:rFonts w:hint="eastAsia"/>
          <w:b/>
          <w:bCs/>
        </w:rPr>
      </w:pPr>
    </w:p>
    <w:p w14:paraId="2B7FD975" w14:textId="4A85DC21" w:rsidR="00F80346" w:rsidRDefault="003618AF">
      <w:pPr>
        <w:pStyle w:val="Standard"/>
        <w:jc w:val="both"/>
        <w:rPr>
          <w:rFonts w:hint="eastAsia"/>
        </w:rPr>
      </w:pPr>
      <w:r>
        <w:t>Annexe 1 : Caractéristiques du réseau</w:t>
      </w:r>
      <w:r w:rsidR="002F0C08">
        <w:t xml:space="preserve"> </w:t>
      </w:r>
    </w:p>
    <w:p w14:paraId="38CF09E4" w14:textId="33FC438B" w:rsidR="003618AF" w:rsidRDefault="003618AF">
      <w:pPr>
        <w:pStyle w:val="Standard"/>
        <w:jc w:val="both"/>
        <w:rPr>
          <w:rFonts w:hint="eastAsia"/>
        </w:rPr>
      </w:pPr>
      <w:r>
        <w:t>Annexe 2 : Etat d’avancement de la mise en accessibilité du Sd’AP régional</w:t>
      </w:r>
    </w:p>
    <w:p w14:paraId="6FB7EF4E" w14:textId="27E0B8A6" w:rsidR="003618AF" w:rsidRDefault="003618AF">
      <w:pPr>
        <w:pStyle w:val="Standard"/>
        <w:jc w:val="both"/>
        <w:rPr>
          <w:rFonts w:hint="eastAsia"/>
        </w:rPr>
      </w:pPr>
      <w:r>
        <w:t>Annexe 3 : Etat d’avancement de la mise en accessibilité des Sd’AP départementaux</w:t>
      </w:r>
    </w:p>
    <w:p w14:paraId="731892F7" w14:textId="0096F230" w:rsidR="00C41AB4" w:rsidRDefault="00C41AB4">
      <w:pPr>
        <w:pStyle w:val="Standard"/>
        <w:jc w:val="both"/>
        <w:rPr>
          <w:rFonts w:hint="eastAsia"/>
        </w:rPr>
      </w:pPr>
      <w:r>
        <w:t xml:space="preserve">Annexe 4 : Actualisation de la programmation des actions restant à venir </w:t>
      </w:r>
      <w:r w:rsidR="00206CA4">
        <w:t>sur le périmètre SNCF Réseau</w:t>
      </w:r>
    </w:p>
    <w:p w14:paraId="7F62E88E" w14:textId="3C18B7C4" w:rsidR="003618AF" w:rsidRDefault="003618AF">
      <w:pPr>
        <w:pStyle w:val="Standard"/>
        <w:jc w:val="both"/>
        <w:rPr>
          <w:rFonts w:hint="eastAsia"/>
        </w:rPr>
      </w:pPr>
      <w:r>
        <w:t xml:space="preserve">Annexe </w:t>
      </w:r>
      <w:r w:rsidR="00C41AB4">
        <w:t>5</w:t>
      </w:r>
      <w:r>
        <w:t> : Courrier adressé à la Direction Générale des Collectivités Locales</w:t>
      </w:r>
    </w:p>
    <w:p w14:paraId="5CE8034E" w14:textId="3515FEE7" w:rsidR="003618AF" w:rsidRDefault="003618AF">
      <w:pPr>
        <w:pStyle w:val="Standard"/>
        <w:jc w:val="both"/>
        <w:rPr>
          <w:rFonts w:hint="eastAsia"/>
        </w:rPr>
      </w:pPr>
      <w:r>
        <w:t xml:space="preserve">Annexe </w:t>
      </w:r>
      <w:r w:rsidR="00C41AB4">
        <w:t>6</w:t>
      </w:r>
      <w:r>
        <w:t xml:space="preserve"> : Courrier adressé à </w:t>
      </w:r>
      <w:r w:rsidR="007461A0">
        <w:t xml:space="preserve">Elisabeth BORNE, </w:t>
      </w:r>
      <w:r>
        <w:t>ministre des Transports</w:t>
      </w:r>
    </w:p>
    <w:p w14:paraId="17223916" w14:textId="71FC82BE" w:rsidR="007461A0" w:rsidRDefault="007461A0">
      <w:pPr>
        <w:pStyle w:val="Standard"/>
        <w:jc w:val="both"/>
        <w:rPr>
          <w:rFonts w:hint="eastAsia"/>
        </w:rPr>
      </w:pPr>
      <w:r>
        <w:t xml:space="preserve">Annexe </w:t>
      </w:r>
      <w:r w:rsidR="00C41AB4">
        <w:t>7</w:t>
      </w:r>
      <w:r>
        <w:t> : Courrier de réponse d’Elisabeth BORNE, ministre des Transports</w:t>
      </w:r>
    </w:p>
    <w:p w14:paraId="00E00CD2" w14:textId="09EE2EAE" w:rsidR="003618AF" w:rsidRDefault="003618AF">
      <w:pPr>
        <w:pStyle w:val="Standard"/>
        <w:jc w:val="both"/>
        <w:rPr>
          <w:rFonts w:hint="eastAsia"/>
        </w:rPr>
      </w:pPr>
      <w:r>
        <w:t xml:space="preserve">Annexe </w:t>
      </w:r>
      <w:r w:rsidR="00C41AB4">
        <w:t>8</w:t>
      </w:r>
      <w:r>
        <w:t> : Présentation du service Accès Rémi Train</w:t>
      </w:r>
    </w:p>
    <w:p w14:paraId="0DEF390F" w14:textId="317C27E2" w:rsidR="007461A0" w:rsidRDefault="003618AF">
      <w:pPr>
        <w:pStyle w:val="Standard"/>
        <w:jc w:val="both"/>
        <w:rPr>
          <w:rFonts w:hint="eastAsia"/>
        </w:rPr>
      </w:pPr>
      <w:r>
        <w:t xml:space="preserve">Annexe </w:t>
      </w:r>
      <w:r w:rsidR="00C41AB4">
        <w:t>9</w:t>
      </w:r>
      <w:r>
        <w:t xml:space="preserve"> : </w:t>
      </w:r>
      <w:r w:rsidR="00042F26">
        <w:t>Evolution du nombre de prises en charge des personnes à mobilité réduite sur le réseau ferroviaire</w:t>
      </w:r>
    </w:p>
    <w:p w14:paraId="2F39E2EE" w14:textId="4BC34061" w:rsidR="00042F26" w:rsidRDefault="00042F26">
      <w:pPr>
        <w:pStyle w:val="Standard"/>
        <w:jc w:val="both"/>
        <w:rPr>
          <w:rFonts w:hint="eastAsia"/>
        </w:rPr>
      </w:pPr>
      <w:r>
        <w:t xml:space="preserve">Annexe </w:t>
      </w:r>
      <w:r w:rsidR="00C41AB4">
        <w:t>10</w:t>
      </w:r>
      <w:r>
        <w:t> : Accessibilité du parc de matériel roulant des Sd’AP départementaux</w:t>
      </w:r>
    </w:p>
    <w:p w14:paraId="208FA388" w14:textId="67476BAA" w:rsidR="007461A0" w:rsidRDefault="007461A0">
      <w:pPr>
        <w:pStyle w:val="Standard"/>
        <w:jc w:val="both"/>
        <w:rPr>
          <w:rFonts w:hint="eastAsia"/>
        </w:rPr>
      </w:pPr>
      <w:r>
        <w:t>Annexe 1</w:t>
      </w:r>
      <w:r w:rsidR="00C41AB4">
        <w:t>1</w:t>
      </w:r>
      <w:r>
        <w:t> : Actions en faveur de l’information voyageurs des Sd’AP départementaux</w:t>
      </w:r>
    </w:p>
    <w:p w14:paraId="3F7F41AF" w14:textId="5295B9A9" w:rsidR="00042F26" w:rsidRDefault="00042F26">
      <w:pPr>
        <w:pStyle w:val="Standard"/>
        <w:jc w:val="both"/>
        <w:rPr>
          <w:rFonts w:hint="eastAsia"/>
        </w:rPr>
      </w:pPr>
      <w:r>
        <w:t>Annexe 1</w:t>
      </w:r>
      <w:r w:rsidR="00C41AB4">
        <w:t>2</w:t>
      </w:r>
      <w:r>
        <w:t> : Formation du personnel - Sd’AP départementaux</w:t>
      </w:r>
    </w:p>
    <w:p w14:paraId="751700E3" w14:textId="77777777" w:rsidR="00F80346" w:rsidRDefault="00F80346">
      <w:pPr>
        <w:pStyle w:val="Textbody"/>
        <w:jc w:val="both"/>
        <w:rPr>
          <w:rFonts w:hint="eastAsia"/>
        </w:rPr>
      </w:pPr>
    </w:p>
    <w:p w14:paraId="5CC4F13C" w14:textId="764F1A2C" w:rsidR="00F80346" w:rsidRDefault="00F80346">
      <w:pPr>
        <w:pStyle w:val="Textbody"/>
        <w:jc w:val="right"/>
        <w:rPr>
          <w:rFonts w:hint="eastAsia"/>
          <w:sz w:val="28"/>
          <w:szCs w:val="28"/>
        </w:rPr>
      </w:pPr>
    </w:p>
    <w:sectPr w:rsidR="00F80346">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ABC3" w14:textId="77777777" w:rsidR="00BB6ECF" w:rsidRDefault="00BB6ECF">
      <w:pPr>
        <w:rPr>
          <w:rFonts w:hint="eastAsia"/>
        </w:rPr>
      </w:pPr>
      <w:r>
        <w:separator/>
      </w:r>
    </w:p>
  </w:endnote>
  <w:endnote w:type="continuationSeparator" w:id="0">
    <w:p w14:paraId="58FAECDB" w14:textId="77777777" w:rsidR="00BB6ECF" w:rsidRDefault="00BB6E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B51D" w14:textId="526FB5DF" w:rsidR="00BB6ECF" w:rsidRDefault="00BB6ECF">
    <w:pPr>
      <w:pStyle w:val="Pieddepage"/>
      <w:jc w:val="center"/>
      <w:rPr>
        <w:rFonts w:hint="eastAsia"/>
      </w:rPr>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1121" w14:textId="77777777" w:rsidR="00BB6ECF" w:rsidRDefault="00BB6ECF">
      <w:pPr>
        <w:rPr>
          <w:rFonts w:hint="eastAsia"/>
        </w:rPr>
      </w:pPr>
      <w:r>
        <w:rPr>
          <w:color w:val="000000"/>
        </w:rPr>
        <w:separator/>
      </w:r>
    </w:p>
  </w:footnote>
  <w:footnote w:type="continuationSeparator" w:id="0">
    <w:p w14:paraId="0C3D8947" w14:textId="77777777" w:rsidR="00BB6ECF" w:rsidRDefault="00BB6E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28"/>
    <w:multiLevelType w:val="hybridMultilevel"/>
    <w:tmpl w:val="41EEBF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60F62"/>
    <w:multiLevelType w:val="hybridMultilevel"/>
    <w:tmpl w:val="5EA0BB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A75933"/>
    <w:multiLevelType w:val="hybridMultilevel"/>
    <w:tmpl w:val="2780D4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116FE7"/>
    <w:multiLevelType w:val="hybridMultilevel"/>
    <w:tmpl w:val="A002E688"/>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10CC1EB4"/>
    <w:multiLevelType w:val="hybridMultilevel"/>
    <w:tmpl w:val="2780D4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743E05"/>
    <w:multiLevelType w:val="hybridMultilevel"/>
    <w:tmpl w:val="9886B12A"/>
    <w:lvl w:ilvl="0" w:tplc="06A2DDFC">
      <w:start w:val="584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D2952"/>
    <w:multiLevelType w:val="hybridMultilevel"/>
    <w:tmpl w:val="7A962C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F3A4F"/>
    <w:multiLevelType w:val="hybridMultilevel"/>
    <w:tmpl w:val="E0F23A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704544"/>
    <w:multiLevelType w:val="hybridMultilevel"/>
    <w:tmpl w:val="9B72D9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842BF9"/>
    <w:multiLevelType w:val="hybridMultilevel"/>
    <w:tmpl w:val="CE1696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3E23F5"/>
    <w:multiLevelType w:val="hybridMultilevel"/>
    <w:tmpl w:val="1D8AA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462B0D"/>
    <w:multiLevelType w:val="hybridMultilevel"/>
    <w:tmpl w:val="AE28DE60"/>
    <w:lvl w:ilvl="0" w:tplc="C712AE3C">
      <w:start w:val="2"/>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F4879"/>
    <w:multiLevelType w:val="hybridMultilevel"/>
    <w:tmpl w:val="524A34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5E7DFF"/>
    <w:multiLevelType w:val="hybridMultilevel"/>
    <w:tmpl w:val="F53A39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745A60"/>
    <w:multiLevelType w:val="hybridMultilevel"/>
    <w:tmpl w:val="2C123B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7A4633"/>
    <w:multiLevelType w:val="hybridMultilevel"/>
    <w:tmpl w:val="2E668A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AB15A8"/>
    <w:multiLevelType w:val="multilevel"/>
    <w:tmpl w:val="0EC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F26A8D"/>
    <w:multiLevelType w:val="hybridMultilevel"/>
    <w:tmpl w:val="246247C8"/>
    <w:lvl w:ilvl="0" w:tplc="020A8192">
      <w:start w:val="2"/>
      <w:numFmt w:val="bullet"/>
      <w:lvlText w:val="-"/>
      <w:lvlJc w:val="left"/>
      <w:pPr>
        <w:ind w:left="1069" w:hanging="360"/>
      </w:pPr>
      <w:rPr>
        <w:rFonts w:ascii="Liberation Sans" w:eastAsia="SimSun" w:hAnsi="Liberation Sans" w:cs="Mang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ED91C7C"/>
    <w:multiLevelType w:val="hybridMultilevel"/>
    <w:tmpl w:val="AEEE5644"/>
    <w:lvl w:ilvl="0" w:tplc="AD0C391E">
      <w:numFmt w:val="bullet"/>
      <w:lvlText w:val="-"/>
      <w:lvlJc w:val="left"/>
      <w:pPr>
        <w:ind w:left="720" w:hanging="360"/>
      </w:pPr>
      <w:rPr>
        <w:rFonts w:ascii="Liberation Sans" w:eastAsia="SimSun" w:hAnsi="Liberation San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0"/>
  </w:num>
  <w:num w:numId="5">
    <w:abstractNumId w:val="2"/>
  </w:num>
  <w:num w:numId="6">
    <w:abstractNumId w:val="10"/>
  </w:num>
  <w:num w:numId="7">
    <w:abstractNumId w:val="14"/>
  </w:num>
  <w:num w:numId="8">
    <w:abstractNumId w:val="13"/>
  </w:num>
  <w:num w:numId="9">
    <w:abstractNumId w:val="1"/>
  </w:num>
  <w:num w:numId="10">
    <w:abstractNumId w:val="18"/>
  </w:num>
  <w:num w:numId="11">
    <w:abstractNumId w:val="3"/>
  </w:num>
  <w:num w:numId="12">
    <w:abstractNumId w:val="9"/>
  </w:num>
  <w:num w:numId="13">
    <w:abstractNumId w:val="15"/>
  </w:num>
  <w:num w:numId="14">
    <w:abstractNumId w:val="6"/>
  </w:num>
  <w:num w:numId="15">
    <w:abstractNumId w:val="11"/>
  </w:num>
  <w:num w:numId="16">
    <w:abstractNumId w:val="16"/>
  </w:num>
  <w:num w:numId="17">
    <w:abstractNumId w:val="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46"/>
    <w:rsid w:val="00004A15"/>
    <w:rsid w:val="000060BA"/>
    <w:rsid w:val="0002378C"/>
    <w:rsid w:val="0002674B"/>
    <w:rsid w:val="00033C80"/>
    <w:rsid w:val="00042F26"/>
    <w:rsid w:val="000437EB"/>
    <w:rsid w:val="00051FF6"/>
    <w:rsid w:val="0005653A"/>
    <w:rsid w:val="000768A0"/>
    <w:rsid w:val="0008063B"/>
    <w:rsid w:val="00086162"/>
    <w:rsid w:val="0009031E"/>
    <w:rsid w:val="000931C6"/>
    <w:rsid w:val="0009650F"/>
    <w:rsid w:val="000B5001"/>
    <w:rsid w:val="000C2E7B"/>
    <w:rsid w:val="000C6985"/>
    <w:rsid w:val="000D2EF3"/>
    <w:rsid w:val="000D6312"/>
    <w:rsid w:val="000E1A2F"/>
    <w:rsid w:val="000F1AF3"/>
    <w:rsid w:val="000F5AB6"/>
    <w:rsid w:val="00101A99"/>
    <w:rsid w:val="00122CFA"/>
    <w:rsid w:val="00125DD1"/>
    <w:rsid w:val="00136C5B"/>
    <w:rsid w:val="0014139C"/>
    <w:rsid w:val="00141592"/>
    <w:rsid w:val="00142B67"/>
    <w:rsid w:val="0014560F"/>
    <w:rsid w:val="00146ABE"/>
    <w:rsid w:val="00152FF3"/>
    <w:rsid w:val="00155A26"/>
    <w:rsid w:val="00155BC4"/>
    <w:rsid w:val="001B3574"/>
    <w:rsid w:val="001C13E6"/>
    <w:rsid w:val="001D1D3E"/>
    <w:rsid w:val="001D5820"/>
    <w:rsid w:val="001E088E"/>
    <w:rsid w:val="001E52F7"/>
    <w:rsid w:val="001F2EBD"/>
    <w:rsid w:val="001F2F4E"/>
    <w:rsid w:val="001F7A16"/>
    <w:rsid w:val="00206CA4"/>
    <w:rsid w:val="00214422"/>
    <w:rsid w:val="00230624"/>
    <w:rsid w:val="00234BCA"/>
    <w:rsid w:val="0024632E"/>
    <w:rsid w:val="0024767D"/>
    <w:rsid w:val="00254A25"/>
    <w:rsid w:val="00260890"/>
    <w:rsid w:val="002615FD"/>
    <w:rsid w:val="00264B96"/>
    <w:rsid w:val="00267004"/>
    <w:rsid w:val="002923B4"/>
    <w:rsid w:val="00292A51"/>
    <w:rsid w:val="00297C50"/>
    <w:rsid w:val="002A4D95"/>
    <w:rsid w:val="002B09EA"/>
    <w:rsid w:val="002B16BB"/>
    <w:rsid w:val="002E4094"/>
    <w:rsid w:val="002E4866"/>
    <w:rsid w:val="002F0C08"/>
    <w:rsid w:val="00304532"/>
    <w:rsid w:val="003118CC"/>
    <w:rsid w:val="00314075"/>
    <w:rsid w:val="003154D2"/>
    <w:rsid w:val="00325344"/>
    <w:rsid w:val="003412B4"/>
    <w:rsid w:val="0034590D"/>
    <w:rsid w:val="00356576"/>
    <w:rsid w:val="00357A32"/>
    <w:rsid w:val="003618AF"/>
    <w:rsid w:val="00375F26"/>
    <w:rsid w:val="00376C27"/>
    <w:rsid w:val="00380381"/>
    <w:rsid w:val="0039762B"/>
    <w:rsid w:val="003A77F2"/>
    <w:rsid w:val="003D62D7"/>
    <w:rsid w:val="003F4675"/>
    <w:rsid w:val="00404036"/>
    <w:rsid w:val="00424609"/>
    <w:rsid w:val="0043553F"/>
    <w:rsid w:val="00440585"/>
    <w:rsid w:val="004409E3"/>
    <w:rsid w:val="0044596E"/>
    <w:rsid w:val="00456451"/>
    <w:rsid w:val="00460D03"/>
    <w:rsid w:val="00475EBE"/>
    <w:rsid w:val="00485198"/>
    <w:rsid w:val="00492627"/>
    <w:rsid w:val="004A0E24"/>
    <w:rsid w:val="004B0CEA"/>
    <w:rsid w:val="004C50DE"/>
    <w:rsid w:val="004E3422"/>
    <w:rsid w:val="004F221A"/>
    <w:rsid w:val="004F23EA"/>
    <w:rsid w:val="005028DA"/>
    <w:rsid w:val="00510084"/>
    <w:rsid w:val="00511799"/>
    <w:rsid w:val="00520CF5"/>
    <w:rsid w:val="005212EC"/>
    <w:rsid w:val="005247AF"/>
    <w:rsid w:val="005251B1"/>
    <w:rsid w:val="00525F01"/>
    <w:rsid w:val="00563A66"/>
    <w:rsid w:val="00565349"/>
    <w:rsid w:val="00566A56"/>
    <w:rsid w:val="00567B20"/>
    <w:rsid w:val="00592A70"/>
    <w:rsid w:val="0059317A"/>
    <w:rsid w:val="00593D65"/>
    <w:rsid w:val="005A25D8"/>
    <w:rsid w:val="005B4105"/>
    <w:rsid w:val="005B4CC7"/>
    <w:rsid w:val="005C7231"/>
    <w:rsid w:val="005D0185"/>
    <w:rsid w:val="005D556C"/>
    <w:rsid w:val="005F33B9"/>
    <w:rsid w:val="005F4319"/>
    <w:rsid w:val="005F5C03"/>
    <w:rsid w:val="005F6EE2"/>
    <w:rsid w:val="005F7131"/>
    <w:rsid w:val="00601DBB"/>
    <w:rsid w:val="00603208"/>
    <w:rsid w:val="00614737"/>
    <w:rsid w:val="00616B26"/>
    <w:rsid w:val="00621887"/>
    <w:rsid w:val="006224E3"/>
    <w:rsid w:val="00624A7B"/>
    <w:rsid w:val="00632E33"/>
    <w:rsid w:val="00645FEB"/>
    <w:rsid w:val="00647F59"/>
    <w:rsid w:val="00650208"/>
    <w:rsid w:val="00651D8C"/>
    <w:rsid w:val="006654B8"/>
    <w:rsid w:val="0066638C"/>
    <w:rsid w:val="00683F3B"/>
    <w:rsid w:val="006869EC"/>
    <w:rsid w:val="00694109"/>
    <w:rsid w:val="00695006"/>
    <w:rsid w:val="006C4955"/>
    <w:rsid w:val="006C74C9"/>
    <w:rsid w:val="006D194E"/>
    <w:rsid w:val="00702E3D"/>
    <w:rsid w:val="00712CDF"/>
    <w:rsid w:val="0072763E"/>
    <w:rsid w:val="00730B06"/>
    <w:rsid w:val="00741758"/>
    <w:rsid w:val="00743AC8"/>
    <w:rsid w:val="00743CD3"/>
    <w:rsid w:val="00746017"/>
    <w:rsid w:val="007461A0"/>
    <w:rsid w:val="00773C19"/>
    <w:rsid w:val="00785E0B"/>
    <w:rsid w:val="007B2393"/>
    <w:rsid w:val="007B2584"/>
    <w:rsid w:val="007B3344"/>
    <w:rsid w:val="007C04A8"/>
    <w:rsid w:val="007C2ED4"/>
    <w:rsid w:val="007E7A19"/>
    <w:rsid w:val="007F7D76"/>
    <w:rsid w:val="0080653B"/>
    <w:rsid w:val="008129D1"/>
    <w:rsid w:val="00815856"/>
    <w:rsid w:val="00853598"/>
    <w:rsid w:val="008616BB"/>
    <w:rsid w:val="00870BE1"/>
    <w:rsid w:val="0087339E"/>
    <w:rsid w:val="008750B3"/>
    <w:rsid w:val="008755BB"/>
    <w:rsid w:val="00885545"/>
    <w:rsid w:val="00887120"/>
    <w:rsid w:val="008A082A"/>
    <w:rsid w:val="008A1CE7"/>
    <w:rsid w:val="008A495B"/>
    <w:rsid w:val="008D3B3C"/>
    <w:rsid w:val="008E1396"/>
    <w:rsid w:val="008F4FFF"/>
    <w:rsid w:val="008F6558"/>
    <w:rsid w:val="00915E66"/>
    <w:rsid w:val="009237A1"/>
    <w:rsid w:val="00933063"/>
    <w:rsid w:val="00933C90"/>
    <w:rsid w:val="00936172"/>
    <w:rsid w:val="009371B9"/>
    <w:rsid w:val="009527AF"/>
    <w:rsid w:val="009543F0"/>
    <w:rsid w:val="00963AD2"/>
    <w:rsid w:val="0097182E"/>
    <w:rsid w:val="00971BD9"/>
    <w:rsid w:val="00972B19"/>
    <w:rsid w:val="00974F24"/>
    <w:rsid w:val="00984F04"/>
    <w:rsid w:val="00985303"/>
    <w:rsid w:val="00987255"/>
    <w:rsid w:val="00995C47"/>
    <w:rsid w:val="009A0DE5"/>
    <w:rsid w:val="009A1AB3"/>
    <w:rsid w:val="009B1943"/>
    <w:rsid w:val="009B7A6E"/>
    <w:rsid w:val="009C6323"/>
    <w:rsid w:val="009D002C"/>
    <w:rsid w:val="009D08F3"/>
    <w:rsid w:val="009D5F23"/>
    <w:rsid w:val="009F62B6"/>
    <w:rsid w:val="009F7702"/>
    <w:rsid w:val="00A04364"/>
    <w:rsid w:val="00A17F97"/>
    <w:rsid w:val="00A25995"/>
    <w:rsid w:val="00A355BA"/>
    <w:rsid w:val="00A4016D"/>
    <w:rsid w:val="00A47342"/>
    <w:rsid w:val="00A529C9"/>
    <w:rsid w:val="00A534AF"/>
    <w:rsid w:val="00A61521"/>
    <w:rsid w:val="00A62441"/>
    <w:rsid w:val="00A72A52"/>
    <w:rsid w:val="00A7625E"/>
    <w:rsid w:val="00A778E8"/>
    <w:rsid w:val="00A8408C"/>
    <w:rsid w:val="00A92C83"/>
    <w:rsid w:val="00A95038"/>
    <w:rsid w:val="00A95DFC"/>
    <w:rsid w:val="00A96AD1"/>
    <w:rsid w:val="00AB1370"/>
    <w:rsid w:val="00AD1466"/>
    <w:rsid w:val="00AD2FE0"/>
    <w:rsid w:val="00AD63DC"/>
    <w:rsid w:val="00AE0966"/>
    <w:rsid w:val="00B103D2"/>
    <w:rsid w:val="00B14743"/>
    <w:rsid w:val="00B153BF"/>
    <w:rsid w:val="00B378F7"/>
    <w:rsid w:val="00B42048"/>
    <w:rsid w:val="00B57AE3"/>
    <w:rsid w:val="00B6177B"/>
    <w:rsid w:val="00B646A0"/>
    <w:rsid w:val="00B65C23"/>
    <w:rsid w:val="00B7254D"/>
    <w:rsid w:val="00B85E42"/>
    <w:rsid w:val="00B87BC3"/>
    <w:rsid w:val="00B97D10"/>
    <w:rsid w:val="00BA20EF"/>
    <w:rsid w:val="00BB1AF8"/>
    <w:rsid w:val="00BB6ECF"/>
    <w:rsid w:val="00BC20A2"/>
    <w:rsid w:val="00BD6095"/>
    <w:rsid w:val="00BF0874"/>
    <w:rsid w:val="00C157DD"/>
    <w:rsid w:val="00C17714"/>
    <w:rsid w:val="00C206D9"/>
    <w:rsid w:val="00C309A9"/>
    <w:rsid w:val="00C41AB4"/>
    <w:rsid w:val="00C67EA0"/>
    <w:rsid w:val="00C81723"/>
    <w:rsid w:val="00C83A02"/>
    <w:rsid w:val="00C853E3"/>
    <w:rsid w:val="00C968B3"/>
    <w:rsid w:val="00CB4934"/>
    <w:rsid w:val="00CB77F1"/>
    <w:rsid w:val="00CD6A98"/>
    <w:rsid w:val="00CE12CD"/>
    <w:rsid w:val="00D146FF"/>
    <w:rsid w:val="00D32D0C"/>
    <w:rsid w:val="00D41922"/>
    <w:rsid w:val="00D510EC"/>
    <w:rsid w:val="00D52082"/>
    <w:rsid w:val="00D520E4"/>
    <w:rsid w:val="00D60ABA"/>
    <w:rsid w:val="00D66B9C"/>
    <w:rsid w:val="00D71F3E"/>
    <w:rsid w:val="00D9307F"/>
    <w:rsid w:val="00DA2338"/>
    <w:rsid w:val="00DB141F"/>
    <w:rsid w:val="00DB2B2F"/>
    <w:rsid w:val="00DB73C8"/>
    <w:rsid w:val="00DC1063"/>
    <w:rsid w:val="00DC71CF"/>
    <w:rsid w:val="00DD3694"/>
    <w:rsid w:val="00DE0C77"/>
    <w:rsid w:val="00DF0A12"/>
    <w:rsid w:val="00DF511B"/>
    <w:rsid w:val="00E21C76"/>
    <w:rsid w:val="00E36681"/>
    <w:rsid w:val="00E37A42"/>
    <w:rsid w:val="00E47BF2"/>
    <w:rsid w:val="00E50F41"/>
    <w:rsid w:val="00E6163C"/>
    <w:rsid w:val="00E65522"/>
    <w:rsid w:val="00E877C3"/>
    <w:rsid w:val="00E95B8D"/>
    <w:rsid w:val="00E97689"/>
    <w:rsid w:val="00EC2072"/>
    <w:rsid w:val="00EC3CA7"/>
    <w:rsid w:val="00EC4A81"/>
    <w:rsid w:val="00EC4DC9"/>
    <w:rsid w:val="00ED2F9C"/>
    <w:rsid w:val="00EE4264"/>
    <w:rsid w:val="00EE616E"/>
    <w:rsid w:val="00F0127D"/>
    <w:rsid w:val="00F13D41"/>
    <w:rsid w:val="00F256AF"/>
    <w:rsid w:val="00F3230F"/>
    <w:rsid w:val="00F33075"/>
    <w:rsid w:val="00F34480"/>
    <w:rsid w:val="00F35E4F"/>
    <w:rsid w:val="00F43736"/>
    <w:rsid w:val="00F464AA"/>
    <w:rsid w:val="00F63955"/>
    <w:rsid w:val="00F65EB6"/>
    <w:rsid w:val="00F72042"/>
    <w:rsid w:val="00F763C0"/>
    <w:rsid w:val="00F80346"/>
    <w:rsid w:val="00F80464"/>
    <w:rsid w:val="00FA6542"/>
    <w:rsid w:val="00FC13BE"/>
    <w:rsid w:val="00FC38E7"/>
    <w:rsid w:val="00FE2DAE"/>
    <w:rsid w:val="00FF4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8BB6"/>
  <w15:docId w15:val="{CC169B19-8E84-4CC8-9C72-B5FD019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9"/>
        <w:tab w:val="right" w:pos="9638"/>
      </w:tabs>
    </w:pPr>
  </w:style>
  <w:style w:type="paragraph" w:customStyle="1" w:styleId="Framecontents">
    <w:name w:val="Frame contents"/>
    <w:basedOn w:val="Standard"/>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Textedebulles">
    <w:name w:val="Balloon Text"/>
    <w:basedOn w:val="Normal"/>
    <w:link w:val="TextedebullesCar"/>
    <w:uiPriority w:val="99"/>
    <w:semiHidden/>
    <w:unhideWhenUsed/>
    <w:rsid w:val="00BC20A2"/>
    <w:rPr>
      <w:rFonts w:ascii="Tahoma" w:hAnsi="Tahoma"/>
      <w:sz w:val="16"/>
      <w:szCs w:val="14"/>
    </w:rPr>
  </w:style>
  <w:style w:type="character" w:customStyle="1" w:styleId="TextedebullesCar">
    <w:name w:val="Texte de bulles Car"/>
    <w:basedOn w:val="Policepardfaut"/>
    <w:link w:val="Textedebulles"/>
    <w:uiPriority w:val="99"/>
    <w:semiHidden/>
    <w:rsid w:val="00BC20A2"/>
    <w:rPr>
      <w:rFonts w:ascii="Tahoma" w:hAnsi="Tahoma"/>
      <w:sz w:val="16"/>
      <w:szCs w:val="14"/>
    </w:rPr>
  </w:style>
  <w:style w:type="character" w:styleId="Lienhypertexte">
    <w:name w:val="Hyperlink"/>
    <w:basedOn w:val="Policepardfaut"/>
    <w:uiPriority w:val="99"/>
    <w:unhideWhenUsed/>
    <w:rsid w:val="00A96AD1"/>
    <w:rPr>
      <w:color w:val="0000FF" w:themeColor="hyperlink"/>
      <w:u w:val="single"/>
    </w:rPr>
  </w:style>
  <w:style w:type="character" w:styleId="Marquedecommentaire">
    <w:name w:val="annotation reference"/>
    <w:basedOn w:val="Policepardfaut"/>
    <w:uiPriority w:val="99"/>
    <w:semiHidden/>
    <w:unhideWhenUsed/>
    <w:rsid w:val="00C968B3"/>
    <w:rPr>
      <w:sz w:val="16"/>
      <w:szCs w:val="16"/>
    </w:rPr>
  </w:style>
  <w:style w:type="paragraph" w:styleId="Commentaire">
    <w:name w:val="annotation text"/>
    <w:basedOn w:val="Normal"/>
    <w:link w:val="CommentaireCar"/>
    <w:uiPriority w:val="99"/>
    <w:unhideWhenUsed/>
    <w:rsid w:val="00C968B3"/>
    <w:rPr>
      <w:sz w:val="20"/>
      <w:szCs w:val="18"/>
    </w:rPr>
  </w:style>
  <w:style w:type="character" w:customStyle="1" w:styleId="CommentaireCar">
    <w:name w:val="Commentaire Car"/>
    <w:basedOn w:val="Policepardfaut"/>
    <w:link w:val="Commentaire"/>
    <w:uiPriority w:val="99"/>
    <w:rsid w:val="00C968B3"/>
    <w:rPr>
      <w:sz w:val="20"/>
      <w:szCs w:val="18"/>
    </w:rPr>
  </w:style>
  <w:style w:type="paragraph" w:styleId="Objetducommentaire">
    <w:name w:val="annotation subject"/>
    <w:basedOn w:val="Commentaire"/>
    <w:next w:val="Commentaire"/>
    <w:link w:val="ObjetducommentaireCar"/>
    <w:uiPriority w:val="99"/>
    <w:semiHidden/>
    <w:unhideWhenUsed/>
    <w:rsid w:val="00C968B3"/>
    <w:rPr>
      <w:b/>
      <w:bCs/>
    </w:rPr>
  </w:style>
  <w:style w:type="character" w:customStyle="1" w:styleId="ObjetducommentaireCar">
    <w:name w:val="Objet du commentaire Car"/>
    <w:basedOn w:val="CommentaireCar"/>
    <w:link w:val="Objetducommentaire"/>
    <w:uiPriority w:val="99"/>
    <w:semiHidden/>
    <w:rsid w:val="00C968B3"/>
    <w:rPr>
      <w:b/>
      <w:bCs/>
      <w:sz w:val="20"/>
      <w:szCs w:val="18"/>
    </w:rPr>
  </w:style>
  <w:style w:type="character" w:styleId="Mentionnonrsolue">
    <w:name w:val="Unresolved Mention"/>
    <w:basedOn w:val="Policepardfaut"/>
    <w:uiPriority w:val="99"/>
    <w:semiHidden/>
    <w:unhideWhenUsed/>
    <w:rsid w:val="00440585"/>
    <w:rPr>
      <w:color w:val="808080"/>
      <w:shd w:val="clear" w:color="auto" w:fill="E6E6E6"/>
    </w:rPr>
  </w:style>
  <w:style w:type="table" w:styleId="Grilledutableau">
    <w:name w:val="Table Grid"/>
    <w:basedOn w:val="TableauNormal"/>
    <w:uiPriority w:val="59"/>
    <w:rsid w:val="00A5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653B"/>
    <w:pPr>
      <w:ind w:left="720"/>
      <w:contextualSpacing/>
    </w:pPr>
    <w:rPr>
      <w:szCs w:val="21"/>
    </w:rPr>
  </w:style>
  <w:style w:type="paragraph" w:styleId="NormalWeb">
    <w:name w:val="Normal (Web)"/>
    <w:basedOn w:val="Normal"/>
    <w:uiPriority w:val="99"/>
    <w:semiHidden/>
    <w:unhideWhenUsed/>
    <w:rsid w:val="003118CC"/>
    <w:rPr>
      <w:rFonts w:ascii="Times New Roman" w:hAnsi="Times New Roman"/>
      <w:szCs w:val="21"/>
    </w:rPr>
  </w:style>
  <w:style w:type="character" w:styleId="Textedelespacerserv">
    <w:name w:val="Placeholder Text"/>
    <w:basedOn w:val="Policepardfaut"/>
    <w:uiPriority w:val="99"/>
    <w:semiHidden/>
    <w:rsid w:val="004E34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4169">
      <w:bodyDiv w:val="1"/>
      <w:marLeft w:val="0"/>
      <w:marRight w:val="0"/>
      <w:marTop w:val="0"/>
      <w:marBottom w:val="0"/>
      <w:divBdr>
        <w:top w:val="none" w:sz="0" w:space="0" w:color="auto"/>
        <w:left w:val="none" w:sz="0" w:space="0" w:color="auto"/>
        <w:bottom w:val="none" w:sz="0" w:space="0" w:color="auto"/>
        <w:right w:val="none" w:sz="0" w:space="0" w:color="auto"/>
      </w:divBdr>
    </w:div>
    <w:div w:id="1095857159">
      <w:bodyDiv w:val="1"/>
      <w:marLeft w:val="0"/>
      <w:marRight w:val="0"/>
      <w:marTop w:val="0"/>
      <w:marBottom w:val="0"/>
      <w:divBdr>
        <w:top w:val="none" w:sz="0" w:space="0" w:color="auto"/>
        <w:left w:val="none" w:sz="0" w:space="0" w:color="auto"/>
        <w:bottom w:val="none" w:sz="0" w:space="0" w:color="auto"/>
        <w:right w:val="none" w:sz="0" w:space="0" w:color="auto"/>
      </w:divBdr>
    </w:div>
    <w:div w:id="1148546559">
      <w:bodyDiv w:val="1"/>
      <w:marLeft w:val="0"/>
      <w:marRight w:val="0"/>
      <w:marTop w:val="0"/>
      <w:marBottom w:val="0"/>
      <w:divBdr>
        <w:top w:val="none" w:sz="0" w:space="0" w:color="auto"/>
        <w:left w:val="none" w:sz="0" w:space="0" w:color="auto"/>
        <w:bottom w:val="none" w:sz="0" w:space="0" w:color="auto"/>
        <w:right w:val="none" w:sz="0" w:space="0" w:color="auto"/>
      </w:divBdr>
    </w:div>
    <w:div w:id="145189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e.busier@centrevaldeloir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i-centrevaldeloire.fr"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23086525&amp;idArticle=LEGIARTI000023068963&amp;dateTexte=&amp;categorieLien=c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7AE9-7A5E-474F-B301-ED72C931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5125</Words>
  <Characters>28193</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MILHAVET Aurelie</dc:creator>
  <cp:lastModifiedBy>SAINT BLANCARD Patrice</cp:lastModifiedBy>
  <cp:revision>7</cp:revision>
  <cp:lastPrinted>2019-11-27T08:50:00Z</cp:lastPrinted>
  <dcterms:created xsi:type="dcterms:W3CDTF">2020-03-02T17:55:00Z</dcterms:created>
  <dcterms:modified xsi:type="dcterms:W3CDTF">2020-03-27T14:37:00Z</dcterms:modified>
</cp:coreProperties>
</file>